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17CCC" w14:textId="0DEDD4C6" w:rsidR="00E54F0C" w:rsidRPr="004B0AAB" w:rsidRDefault="00C35212" w:rsidP="004B0AAB">
      <w:pPr>
        <w:pStyle w:val="Heading2"/>
        <w:keepNext/>
        <w:keepLines/>
        <w:pBdr>
          <w:bottom w:val="single" w:sz="8" w:space="12" w:color="12273F"/>
        </w:pBdr>
        <w:spacing w:after="120" w:line="300" w:lineRule="auto"/>
        <w:rPr>
          <w:rFonts w:ascii="Century Gothic" w:eastAsiaTheme="majorEastAsia" w:hAnsi="Century Gothic" w:cs="Calibri"/>
          <w:b/>
          <w:bCs/>
          <w:color w:val="12273F"/>
          <w:sz w:val="44"/>
          <w:szCs w:val="48"/>
        </w:rPr>
      </w:pPr>
      <w:bookmarkStart w:id="0" w:name="_Hlk172801514"/>
      <w:bookmarkStart w:id="1" w:name="_Hlk172795322"/>
      <w:r w:rsidRPr="00E411EB">
        <w:rPr>
          <w:rFonts w:ascii="Century Gothic" w:eastAsiaTheme="majorEastAsia" w:hAnsi="Century Gothic" w:cs="Calibri"/>
          <w:b/>
          <w:bCs/>
          <w:color w:val="12273F"/>
          <w:sz w:val="32"/>
          <w:szCs w:val="32"/>
        </w:rPr>
        <w:t>Instructions</w:t>
      </w:r>
      <w:r>
        <w:rPr>
          <w:rFonts w:ascii="Century Gothic" w:eastAsiaTheme="majorEastAsia" w:hAnsi="Century Gothic" w:cs="Calibri"/>
          <w:b/>
          <w:bCs/>
          <w:color w:val="12273F"/>
          <w:sz w:val="32"/>
          <w:szCs w:val="32"/>
        </w:rPr>
        <w:t xml:space="preserve"> for </w:t>
      </w:r>
      <w:r w:rsidR="00894AB7">
        <w:rPr>
          <w:rFonts w:ascii="Century Gothic" w:eastAsiaTheme="majorEastAsia" w:hAnsi="Century Gothic" w:cs="Calibri"/>
          <w:b/>
          <w:bCs/>
          <w:color w:val="12273F"/>
          <w:sz w:val="32"/>
          <w:szCs w:val="32"/>
        </w:rPr>
        <w:t xml:space="preserve">Pillar 2 </w:t>
      </w:r>
      <w:r>
        <w:rPr>
          <w:rFonts w:ascii="Century Gothic" w:eastAsiaTheme="majorEastAsia" w:hAnsi="Century Gothic" w:cs="Calibri"/>
          <w:b/>
          <w:bCs/>
          <w:color w:val="12273F"/>
          <w:sz w:val="32"/>
          <w:szCs w:val="32"/>
        </w:rPr>
        <w:t xml:space="preserve">SME lending adjustment </w:t>
      </w:r>
      <w:r w:rsidR="005D0AA4">
        <w:rPr>
          <w:rFonts w:ascii="Century Gothic" w:eastAsiaTheme="majorEastAsia" w:hAnsi="Century Gothic" w:cs="Calibri"/>
          <w:b/>
          <w:bCs/>
          <w:color w:val="12273F"/>
          <w:sz w:val="32"/>
          <w:szCs w:val="32"/>
        </w:rPr>
        <w:t>and</w:t>
      </w:r>
      <w:r>
        <w:rPr>
          <w:rFonts w:ascii="Century Gothic" w:eastAsiaTheme="majorEastAsia" w:hAnsi="Century Gothic" w:cs="Calibri"/>
          <w:b/>
          <w:bCs/>
          <w:color w:val="12273F"/>
          <w:sz w:val="32"/>
          <w:szCs w:val="32"/>
        </w:rPr>
        <w:t xml:space="preserve"> infrastructure </w:t>
      </w:r>
      <w:bookmarkStart w:id="2" w:name="_Hlk172802601"/>
      <w:r>
        <w:rPr>
          <w:rFonts w:ascii="Century Gothic" w:eastAsiaTheme="majorEastAsia" w:hAnsi="Century Gothic" w:cs="Calibri"/>
          <w:b/>
          <w:bCs/>
          <w:color w:val="12273F"/>
          <w:sz w:val="32"/>
          <w:szCs w:val="32"/>
        </w:rPr>
        <w:t>lending adjustment data templates</w:t>
      </w:r>
      <w:r w:rsidR="00E94BD4">
        <w:rPr>
          <w:rFonts w:ascii="Century Gothic" w:eastAsiaTheme="majorEastAsia" w:hAnsi="Century Gothic" w:cs="Calibri"/>
          <w:b/>
          <w:bCs/>
          <w:color w:val="12273F"/>
          <w:sz w:val="32"/>
          <w:szCs w:val="32"/>
        </w:rPr>
        <w:t xml:space="preserve"> </w:t>
      </w:r>
      <w:r w:rsidR="00E94BD4">
        <w:rPr>
          <w:rFonts w:ascii="Century Gothic" w:eastAsiaTheme="majorEastAsia" w:hAnsi="Century Gothic" w:cs="Calibri"/>
          <w:b/>
          <w:bCs/>
          <w:color w:val="12273F"/>
          <w:sz w:val="32"/>
          <w:szCs w:val="32"/>
        </w:rPr>
        <w:br/>
        <w:t>[</w:t>
      </w:r>
      <w:r w:rsidR="00571EAC">
        <w:rPr>
          <w:rFonts w:ascii="Century Gothic" w:eastAsiaTheme="majorEastAsia" w:hAnsi="Century Gothic" w:cs="Calibri"/>
          <w:b/>
          <w:bCs/>
          <w:color w:val="12273F"/>
          <w:sz w:val="32"/>
          <w:szCs w:val="32"/>
        </w:rPr>
        <w:t>For</w:t>
      </w:r>
      <w:r w:rsidR="00E94BD4">
        <w:rPr>
          <w:rFonts w:ascii="Century Gothic" w:eastAsiaTheme="majorEastAsia" w:hAnsi="Century Gothic" w:cs="Calibri"/>
          <w:b/>
          <w:bCs/>
          <w:color w:val="12273F"/>
          <w:sz w:val="32"/>
          <w:szCs w:val="32"/>
        </w:rPr>
        <w:t xml:space="preserve"> SDDTs </w:t>
      </w:r>
      <w:r w:rsidR="00966091">
        <w:rPr>
          <w:rFonts w:ascii="Century Gothic" w:eastAsiaTheme="majorEastAsia" w:hAnsi="Century Gothic" w:cs="Calibri"/>
          <w:b/>
          <w:bCs/>
          <w:color w:val="12273F"/>
          <w:sz w:val="32"/>
          <w:szCs w:val="32"/>
        </w:rPr>
        <w:t xml:space="preserve">and SDDT consolidation entities </w:t>
      </w:r>
      <w:r w:rsidR="00E94BD4">
        <w:rPr>
          <w:rFonts w:ascii="Century Gothic" w:eastAsiaTheme="majorEastAsia" w:hAnsi="Century Gothic" w:cs="Calibri"/>
          <w:b/>
          <w:bCs/>
          <w:color w:val="12273F"/>
          <w:sz w:val="32"/>
          <w:szCs w:val="32"/>
        </w:rPr>
        <w:t>only]</w:t>
      </w:r>
      <w:r>
        <w:rPr>
          <w:rFonts w:ascii="Century Gothic" w:eastAsiaTheme="majorEastAsia" w:hAnsi="Century Gothic" w:cs="Calibri"/>
          <w:b/>
          <w:bCs/>
          <w:color w:val="12273F"/>
          <w:sz w:val="32"/>
          <w:szCs w:val="32"/>
        </w:rPr>
        <w:t xml:space="preserve"> </w:t>
      </w:r>
      <w:bookmarkStart w:id="3" w:name="_Hlk172800852"/>
    </w:p>
    <w:bookmarkEnd w:id="0"/>
    <w:p w14:paraId="0C01499B" w14:textId="13E95F33" w:rsidR="0074310F" w:rsidRPr="00BB79FA" w:rsidRDefault="0074310F" w:rsidP="00EE6BDA">
      <w:pPr>
        <w:pStyle w:val="Heading1"/>
        <w:rPr>
          <w:b w:val="0"/>
          <w:bCs w:val="0"/>
          <w:u w:val="none"/>
        </w:rPr>
      </w:pPr>
      <w:r w:rsidRPr="00BB79FA">
        <w:rPr>
          <w:b w:val="0"/>
          <w:bCs w:val="0"/>
          <w:u w:val="none"/>
        </w:rPr>
        <w:t>For the purposes of these instructions, all references to the rulebook, rules, parts, and articles in these instructions should be read as referring to</w:t>
      </w:r>
      <w:r w:rsidR="00BB79FA" w:rsidRPr="00BB79FA">
        <w:rPr>
          <w:b w:val="0"/>
          <w:bCs w:val="0"/>
          <w:u w:val="none"/>
        </w:rPr>
        <w:t xml:space="preserve"> the</w:t>
      </w:r>
      <w:r w:rsidRPr="00BB79FA">
        <w:rPr>
          <w:b w:val="0"/>
          <w:bCs w:val="0"/>
          <w:u w:val="none"/>
        </w:rPr>
        <w:t xml:space="preserve"> PRA Rulebook, unless otherwise stated.</w:t>
      </w:r>
    </w:p>
    <w:p w14:paraId="00AA7E37" w14:textId="31E3D223" w:rsidR="00E07274" w:rsidRPr="00BB79FA" w:rsidRDefault="00781209" w:rsidP="00EE6BDA">
      <w:pPr>
        <w:pStyle w:val="Heading1"/>
      </w:pPr>
      <w:r w:rsidRPr="00BB79FA">
        <w:t xml:space="preserve">PART I: </w:t>
      </w:r>
      <w:r w:rsidR="00636986" w:rsidRPr="00BB79FA">
        <w:t>I</w:t>
      </w:r>
      <w:r w:rsidRPr="00BB79FA">
        <w:t>NTRODUCTION</w:t>
      </w:r>
    </w:p>
    <w:bookmarkEnd w:id="2"/>
    <w:p w14:paraId="4B06E95D" w14:textId="6A6EB6CB" w:rsidR="00C152DC" w:rsidRPr="00BB79FA" w:rsidRDefault="00C72C35" w:rsidP="00A23969">
      <w:pPr>
        <w:pStyle w:val="Heading2"/>
        <w:numPr>
          <w:ilvl w:val="1"/>
          <w:numId w:val="43"/>
        </w:numPr>
        <w:ind w:left="567" w:hanging="567"/>
      </w:pPr>
      <w:r w:rsidRPr="00BB79FA">
        <w:t>T</w:t>
      </w:r>
      <w:r w:rsidR="00CD0389" w:rsidRPr="00BB79FA">
        <w:t xml:space="preserve">hese instructions set </w:t>
      </w:r>
      <w:r w:rsidR="689CE6A5" w:rsidRPr="00BB79FA">
        <w:t xml:space="preserve">out </w:t>
      </w:r>
      <w:r w:rsidR="1256AE3F" w:rsidRPr="00BB79FA">
        <w:t>the data</w:t>
      </w:r>
      <w:r w:rsidR="3FED2413" w:rsidRPr="00BB79FA">
        <w:t xml:space="preserve"> in</w:t>
      </w:r>
      <w:r w:rsidR="005A5C04" w:rsidRPr="00BB79FA">
        <w:t xml:space="preserve"> </w:t>
      </w:r>
      <w:r w:rsidR="00894AB7" w:rsidRPr="00BB79FA">
        <w:t>templates</w:t>
      </w:r>
      <w:r w:rsidR="005A5C04" w:rsidRPr="00BB79FA">
        <w:t xml:space="preserve"> A, B, and C</w:t>
      </w:r>
      <w:r w:rsidR="1256AE3F" w:rsidRPr="00BB79FA">
        <w:t xml:space="preserve"> that </w:t>
      </w:r>
      <w:r w:rsidR="00095537">
        <w:t>Small Domestic Deposit Takers (SDDTs) and SDDT consolidation entities</w:t>
      </w:r>
      <w:r w:rsidR="00095537" w:rsidRPr="00BB79FA">
        <w:t xml:space="preserve"> </w:t>
      </w:r>
      <w:r w:rsidR="00095537">
        <w:t>(hereafter ‘SDDTs</w:t>
      </w:r>
      <w:r w:rsidR="008C60DF">
        <w:t>'</w:t>
      </w:r>
      <w:r w:rsidR="00095537">
        <w:t xml:space="preserve">) </w:t>
      </w:r>
      <w:r w:rsidR="00FD1EA3" w:rsidRPr="00BB79FA">
        <w:t xml:space="preserve">must </w:t>
      </w:r>
      <w:r w:rsidR="1256AE3F" w:rsidRPr="00BB79FA">
        <w:t xml:space="preserve">submit to the PRA </w:t>
      </w:r>
      <w:r w:rsidR="00894AB7" w:rsidRPr="00BB79FA">
        <w:t>to</w:t>
      </w:r>
      <w:r w:rsidR="0018236D" w:rsidRPr="00BB79FA">
        <w:t xml:space="preserve"> </w:t>
      </w:r>
      <w:r w:rsidR="008D0B1B" w:rsidRPr="00BB79FA">
        <w:t>qualify for</w:t>
      </w:r>
      <w:r w:rsidR="0018236D" w:rsidRPr="00BB79FA">
        <w:t xml:space="preserve"> </w:t>
      </w:r>
      <w:r w:rsidR="1256AE3F" w:rsidRPr="00BB79FA">
        <w:t>the SME lending adj</w:t>
      </w:r>
      <w:r w:rsidR="0CD9A9F3" w:rsidRPr="00BB79FA">
        <w:t>ustment and</w:t>
      </w:r>
      <w:r w:rsidR="00177F69" w:rsidRPr="00BB79FA">
        <w:t>/or</w:t>
      </w:r>
      <w:r w:rsidR="0CD9A9F3" w:rsidRPr="00BB79FA">
        <w:t xml:space="preserve"> the </w:t>
      </w:r>
      <w:bookmarkEnd w:id="3"/>
      <w:r w:rsidR="0CD9A9F3" w:rsidRPr="00BB79FA">
        <w:t>infrastructure lending adjustment.</w:t>
      </w:r>
      <w:r w:rsidR="00095537">
        <w:rPr>
          <w:rStyle w:val="FootnoteReference"/>
        </w:rPr>
        <w:footnoteReference w:id="2"/>
      </w:r>
      <w:r w:rsidR="00DE4D39" w:rsidRPr="00BB79FA">
        <w:t xml:space="preserve"> </w:t>
      </w:r>
    </w:p>
    <w:p w14:paraId="64E08360" w14:textId="71D73124" w:rsidR="00403F14" w:rsidRPr="00BB79FA" w:rsidRDefault="00496B78" w:rsidP="00403F14">
      <w:pPr>
        <w:pStyle w:val="Heading2"/>
        <w:numPr>
          <w:ilvl w:val="1"/>
          <w:numId w:val="43"/>
        </w:numPr>
        <w:ind w:left="567" w:hanging="567"/>
      </w:pPr>
      <w:r>
        <w:t xml:space="preserve">In order to qualify for the SME lending adjustment and/or the infrastructure lending adjustment, </w:t>
      </w:r>
      <w:r w:rsidR="00095537">
        <w:t>SDDTs</w:t>
      </w:r>
      <w:r w:rsidR="00095537" w:rsidRPr="00BB79FA">
        <w:t xml:space="preserve"> </w:t>
      </w:r>
      <w:r w:rsidR="00403F14" w:rsidRPr="00BB79FA">
        <w:t>must submit the combination of individual data templates set out below which are relevant to their circumstances:</w:t>
      </w:r>
    </w:p>
    <w:p w14:paraId="141CD97D" w14:textId="5DE8AD14" w:rsidR="00403F14" w:rsidRPr="00BB79FA" w:rsidRDefault="00095537" w:rsidP="00403F14">
      <w:pPr>
        <w:pStyle w:val="Heading2"/>
        <w:numPr>
          <w:ilvl w:val="0"/>
          <w:numId w:val="23"/>
        </w:numPr>
      </w:pPr>
      <w:r>
        <w:t>SDDTs</w:t>
      </w:r>
      <w:r w:rsidRPr="00BB79FA">
        <w:t xml:space="preserve"> </w:t>
      </w:r>
      <w:r w:rsidR="00403F14" w:rsidRPr="00BB79FA">
        <w:t>which are not seeking to qualify for either the SME lending adjustment or infrastructure lending adjustment do not need to report the data templates;</w:t>
      </w:r>
    </w:p>
    <w:p w14:paraId="31D03B32" w14:textId="4DCC5FEC" w:rsidR="00403F14" w:rsidRPr="00BB79FA" w:rsidRDefault="00095537" w:rsidP="00403F14">
      <w:pPr>
        <w:pStyle w:val="Heading2"/>
        <w:numPr>
          <w:ilvl w:val="0"/>
          <w:numId w:val="23"/>
        </w:numPr>
      </w:pPr>
      <w:r>
        <w:t>SDDTs</w:t>
      </w:r>
      <w:r w:rsidRPr="00BB79FA">
        <w:t xml:space="preserve"> </w:t>
      </w:r>
      <w:r w:rsidR="00403F14" w:rsidRPr="00BB79FA">
        <w:t xml:space="preserve">which are only seeking to qualify for the SME lending adjustment should complete Submission A; </w:t>
      </w:r>
    </w:p>
    <w:p w14:paraId="1C7BBC24" w14:textId="79C0A946" w:rsidR="00403F14" w:rsidRPr="00BB79FA" w:rsidRDefault="00095537" w:rsidP="00403F14">
      <w:pPr>
        <w:pStyle w:val="Heading2"/>
        <w:numPr>
          <w:ilvl w:val="0"/>
          <w:numId w:val="23"/>
        </w:numPr>
      </w:pPr>
      <w:r>
        <w:t>SDDTs</w:t>
      </w:r>
      <w:r w:rsidRPr="00BB79FA">
        <w:t xml:space="preserve"> </w:t>
      </w:r>
      <w:r w:rsidR="00403F14" w:rsidRPr="00BB79FA">
        <w:t xml:space="preserve">which are only seeking to qualify for the infrastructure lending adjustment should complete Submission B; </w:t>
      </w:r>
    </w:p>
    <w:p w14:paraId="51ED75C9" w14:textId="4713083D" w:rsidR="00403F14" w:rsidRPr="00BB79FA" w:rsidRDefault="00095537" w:rsidP="00403F14">
      <w:pPr>
        <w:pStyle w:val="Heading2"/>
        <w:numPr>
          <w:ilvl w:val="0"/>
          <w:numId w:val="23"/>
        </w:numPr>
      </w:pPr>
      <w:r>
        <w:t>SDDTs</w:t>
      </w:r>
      <w:r w:rsidRPr="00BB79FA">
        <w:t xml:space="preserve"> </w:t>
      </w:r>
      <w:r w:rsidR="00403F14" w:rsidRPr="00BB79FA">
        <w:t xml:space="preserve">seeking to qualify for the SME lending adjustment and the infrastructure lending adjustment should complete Submission A for exposures which are only eligible for the SME </w:t>
      </w:r>
      <w:r w:rsidR="00D7006D">
        <w:t>F</w:t>
      </w:r>
      <w:r w:rsidR="00403F14" w:rsidRPr="00BB79FA">
        <w:t xml:space="preserve">actor, Submission B for exposures which are only eligible for the </w:t>
      </w:r>
      <w:r w:rsidR="00D7006D">
        <w:t>I</w:t>
      </w:r>
      <w:r w:rsidR="00403F14" w:rsidRPr="00BB79FA">
        <w:t xml:space="preserve">nfrastructure </w:t>
      </w:r>
      <w:r w:rsidR="00D7006D">
        <w:t>F</w:t>
      </w:r>
      <w:r w:rsidR="00403F14" w:rsidRPr="00BB79FA">
        <w:t xml:space="preserve">actor, and Submission C for exposures which are eligible for both the SME </w:t>
      </w:r>
      <w:r w:rsidR="00D7006D">
        <w:t>F</w:t>
      </w:r>
      <w:r w:rsidR="00403F14" w:rsidRPr="00BB79FA">
        <w:t xml:space="preserve">actor and the </w:t>
      </w:r>
      <w:r w:rsidR="00D7006D">
        <w:t>I</w:t>
      </w:r>
      <w:r w:rsidR="00403F14" w:rsidRPr="00BB79FA">
        <w:t xml:space="preserve">nfrastructure </w:t>
      </w:r>
      <w:r w:rsidR="00D7006D">
        <w:t>F</w:t>
      </w:r>
      <w:r w:rsidR="00403F14" w:rsidRPr="00BB79FA">
        <w:t xml:space="preserve">actor. </w:t>
      </w:r>
    </w:p>
    <w:p w14:paraId="1DCC8F84" w14:textId="283DC16C" w:rsidR="00403F14" w:rsidRPr="00BB79FA" w:rsidRDefault="00403F14" w:rsidP="0074310F">
      <w:pPr>
        <w:pStyle w:val="Heading2"/>
        <w:numPr>
          <w:ilvl w:val="1"/>
          <w:numId w:val="43"/>
        </w:numPr>
        <w:ind w:left="567" w:hanging="567"/>
        <w:rPr>
          <w:b/>
        </w:rPr>
      </w:pPr>
      <w:r w:rsidRPr="00BB79FA">
        <w:t xml:space="preserve">An individual exposure </w:t>
      </w:r>
      <w:r w:rsidR="009853FD">
        <w:t>shall</w:t>
      </w:r>
      <w:r w:rsidRPr="00BB79FA">
        <w:t xml:space="preserve"> only be reported once across all submission sheets because the scope of Submission</w:t>
      </w:r>
      <w:r w:rsidR="00496B78">
        <w:t>s</w:t>
      </w:r>
      <w:r w:rsidRPr="00BB79FA">
        <w:t xml:space="preserve"> A, B, </w:t>
      </w:r>
      <w:r w:rsidR="00496B78">
        <w:t xml:space="preserve">and </w:t>
      </w:r>
      <w:r w:rsidRPr="00BB79FA">
        <w:t xml:space="preserve">C are mutually exclusive. </w:t>
      </w:r>
    </w:p>
    <w:p w14:paraId="7CB57BC0" w14:textId="00B48E9C" w:rsidR="000E7BC4" w:rsidRPr="00BB79FA" w:rsidRDefault="000E7BC4" w:rsidP="000E7BC4">
      <w:pPr>
        <w:rPr>
          <w:rFonts w:ascii="Arial" w:hAnsi="Arial" w:cs="Arial"/>
          <w:b/>
          <w:bCs/>
        </w:rPr>
      </w:pPr>
      <w:r w:rsidRPr="00BB79FA">
        <w:rPr>
          <w:rFonts w:ascii="Arial" w:hAnsi="Arial" w:cs="Arial"/>
          <w:b/>
          <w:bCs/>
        </w:rPr>
        <w:t>SME lending adjustment</w:t>
      </w:r>
    </w:p>
    <w:p w14:paraId="59596A50" w14:textId="4802AC53" w:rsidR="000E7BC4" w:rsidRPr="00BB79FA" w:rsidRDefault="000E7BC4" w:rsidP="00A23969">
      <w:pPr>
        <w:pStyle w:val="Heading2"/>
        <w:numPr>
          <w:ilvl w:val="1"/>
          <w:numId w:val="43"/>
        </w:numPr>
        <w:ind w:left="567" w:hanging="567"/>
      </w:pPr>
      <w:r w:rsidRPr="00BB79FA">
        <w:t xml:space="preserve">The SME lending adjustment </w:t>
      </w:r>
      <w:r w:rsidR="00E0559D" w:rsidRPr="00BB79FA">
        <w:t>will be</w:t>
      </w:r>
      <w:r w:rsidRPr="00BB79FA">
        <w:t xml:space="preserve"> calculated on the basis of </w:t>
      </w:r>
      <w:r w:rsidR="007B15F9" w:rsidRPr="00BB79FA">
        <w:t>a</w:t>
      </w:r>
      <w:r w:rsidR="00095537">
        <w:t>n SDDT’s</w:t>
      </w:r>
      <w:r w:rsidR="00696C27" w:rsidRPr="00BB79FA">
        <w:t xml:space="preserve"> </w:t>
      </w:r>
      <w:r w:rsidRPr="00BB79FA">
        <w:t xml:space="preserve">exposures which </w:t>
      </w:r>
      <w:r w:rsidR="00496B78">
        <w:t xml:space="preserve">meet the eligibility criteria </w:t>
      </w:r>
      <w:r w:rsidR="00315283">
        <w:t>set out in paragraphs 1.5 and 1.6 below</w:t>
      </w:r>
    </w:p>
    <w:p w14:paraId="6369A7D9" w14:textId="36020713" w:rsidR="000E7BC4" w:rsidRPr="00BB79FA" w:rsidRDefault="002124F0" w:rsidP="00571EAC">
      <w:pPr>
        <w:pStyle w:val="Heading2"/>
        <w:numPr>
          <w:ilvl w:val="1"/>
          <w:numId w:val="43"/>
        </w:numPr>
        <w:ind w:left="567" w:hanging="567"/>
      </w:pPr>
      <w:r w:rsidRPr="00BB79FA">
        <w:lastRenderedPageBreak/>
        <w:t xml:space="preserve">For the purpose of </w:t>
      </w:r>
      <w:r w:rsidR="00C242E0" w:rsidRPr="00BB79FA">
        <w:t>th</w:t>
      </w:r>
      <w:r w:rsidR="005A5C04" w:rsidRPr="00BB79FA">
        <w:t>ese</w:t>
      </w:r>
      <w:r w:rsidR="00C242E0" w:rsidRPr="00BB79FA">
        <w:t xml:space="preserve"> data </w:t>
      </w:r>
      <w:r w:rsidR="005A5C04" w:rsidRPr="00BB79FA">
        <w:t>templates</w:t>
      </w:r>
      <w:r w:rsidR="00C242E0" w:rsidRPr="00BB79FA">
        <w:t>, a</w:t>
      </w:r>
      <w:r w:rsidR="000E7BC4" w:rsidRPr="00BB79FA">
        <w:t>n exposure is eligible for the SME</w:t>
      </w:r>
      <w:r w:rsidR="00496B78">
        <w:t xml:space="preserve"> lending adjustment </w:t>
      </w:r>
      <w:r w:rsidR="000E7BC4" w:rsidRPr="00BB79FA">
        <w:t>where it is a non-defaulted exposure to an SME (</w:t>
      </w:r>
      <w:r w:rsidR="00856D02" w:rsidRPr="00BB79FA">
        <w:t xml:space="preserve">as defined in the </w:t>
      </w:r>
      <w:r w:rsidR="000E7BC4" w:rsidRPr="00BB79FA">
        <w:t>Glossary Part)</w:t>
      </w:r>
      <w:r w:rsidR="00325C32">
        <w:t>,</w:t>
      </w:r>
      <w:r w:rsidR="000E7BC4" w:rsidRPr="00BB79FA">
        <w:t xml:space="preserve"> and the exposure is not an ADC exposure and it is assigned to any of the exposure classes referred to in points (g) to (</w:t>
      </w:r>
      <w:proofErr w:type="spellStart"/>
      <w:r w:rsidR="000E7BC4" w:rsidRPr="00BB79FA">
        <w:t>i</w:t>
      </w:r>
      <w:proofErr w:type="spellEnd"/>
      <w:r w:rsidR="000E7BC4" w:rsidRPr="00BB79FA">
        <w:t>) of paragraph 1 of Credit Risk: Standardised Approach (CRR) Part Article 112</w:t>
      </w:r>
      <w:r w:rsidR="00325C32">
        <w:t>.</w:t>
      </w:r>
    </w:p>
    <w:p w14:paraId="7C0F041B" w14:textId="25C6E294" w:rsidR="00987AB6" w:rsidRPr="00BB79FA" w:rsidRDefault="00124182" w:rsidP="007648F7">
      <w:pPr>
        <w:pStyle w:val="Heading2"/>
        <w:ind w:left="567"/>
        <w:rPr>
          <w:rFonts w:eastAsia="Arial"/>
          <w:iCs/>
          <w:color w:val="000000" w:themeColor="text1"/>
          <w:lang w:eastAsia="en-GB"/>
        </w:rPr>
      </w:pPr>
      <w:r w:rsidRPr="00124182">
        <w:t xml:space="preserve">The PRA does not expect that buy-to-let mortgage lending will meet the eligibility criteria for the SME lending adjustment where the purpose of the borrowing is to support buy-to-let business. </w:t>
      </w:r>
    </w:p>
    <w:p w14:paraId="21AA88C1" w14:textId="554BCDA7" w:rsidR="0085668D" w:rsidRPr="00BB79FA" w:rsidRDefault="00FD3180" w:rsidP="00A23969">
      <w:pPr>
        <w:pStyle w:val="Heading2"/>
        <w:numPr>
          <w:ilvl w:val="1"/>
          <w:numId w:val="43"/>
        </w:numPr>
        <w:ind w:left="567" w:hanging="567"/>
        <w:rPr>
          <w:rFonts w:eastAsia="Times New Roman"/>
          <w:kern w:val="0"/>
          <w:lang w:eastAsia="en-GB"/>
          <w14:ligatures w14:val="none"/>
        </w:rPr>
      </w:pPr>
      <w:r w:rsidRPr="00BB79FA">
        <w:t xml:space="preserve">The SME </w:t>
      </w:r>
      <w:r w:rsidR="00A24722">
        <w:t>F</w:t>
      </w:r>
      <w:r w:rsidRPr="00BB79FA">
        <w:t xml:space="preserve">actor </w:t>
      </w:r>
      <w:r w:rsidR="00496B78">
        <w:t xml:space="preserve">(SF) </w:t>
      </w:r>
      <w:r w:rsidRPr="00BB79FA">
        <w:t>for an eligible exposure shall be calculated</w:t>
      </w:r>
      <w:r w:rsidR="0085668D" w:rsidRPr="00BB79FA">
        <w:t xml:space="preserve"> according to the following expression</w:t>
      </w:r>
      <w:r w:rsidR="0085668D" w:rsidRPr="00BB79FA">
        <w:rPr>
          <w:rFonts w:eastAsia="Times New Roman"/>
          <w:kern w:val="0"/>
          <w:lang w:eastAsia="en-GB"/>
          <w14:ligatures w14:val="none"/>
        </w:rPr>
        <w:t>:</w:t>
      </w:r>
    </w:p>
    <w:p w14:paraId="264D10E2" w14:textId="77777777" w:rsidR="0085668D" w:rsidRPr="00BB79FA" w:rsidRDefault="0085668D" w:rsidP="0085668D">
      <w:pPr>
        <w:spacing w:after="0" w:line="240" w:lineRule="auto"/>
        <w:rPr>
          <w:rFonts w:ascii="Arial" w:eastAsia="Times New Roman" w:hAnsi="Arial" w:cs="Arial"/>
          <w:kern w:val="0"/>
          <w:lang w:eastAsia="en-GB"/>
          <w14:ligatures w14:val="none"/>
        </w:rPr>
      </w:pPr>
    </w:p>
    <w:p w14:paraId="758D6D7D" w14:textId="4A7BB31C" w:rsidR="0085668D" w:rsidRPr="00BB79FA" w:rsidRDefault="0085668D" w:rsidP="0085668D">
      <w:pPr>
        <w:jc w:val="center"/>
        <w:rPr>
          <w:rFonts w:ascii="Arial" w:hAnsi="Arial" w:cs="Arial"/>
        </w:rPr>
      </w:pPr>
      <m:oMathPara>
        <m:oMath>
          <m:r>
            <m:rPr>
              <m:sty m:val="p"/>
            </m:rPr>
            <w:rPr>
              <w:rFonts w:ascii="Cambria Math" w:hAnsi="Cambria Math" w:cs="Arial"/>
            </w:rPr>
            <m:t>SF=</m:t>
          </m:r>
          <m:f>
            <m:fPr>
              <m:ctrlPr>
                <w:rPr>
                  <w:rFonts w:ascii="Cambria Math" w:hAnsi="Cambria Math" w:cs="Arial"/>
                  <w:iCs/>
                </w:rPr>
              </m:ctrlPr>
            </m:fPr>
            <m:num>
              <m:r>
                <m:rPr>
                  <m:sty m:val="p"/>
                </m:rPr>
                <w:rPr>
                  <w:rFonts w:ascii="Cambria Math" w:hAnsi="Cambria Math" w:cs="Arial"/>
                </w:rPr>
                <m:t>min</m:t>
              </m:r>
              <m:d>
                <m:dPr>
                  <m:begChr m:val="{"/>
                  <m:endChr m:val="}"/>
                  <m:ctrlPr>
                    <w:rPr>
                      <w:rFonts w:ascii="Cambria Math" w:hAnsi="Cambria Math" w:cs="Arial"/>
                      <w:iCs/>
                    </w:rPr>
                  </m:ctrlPr>
                </m:dPr>
                <m:e>
                  <m:sSup>
                    <m:sSupPr>
                      <m:ctrlPr>
                        <w:rPr>
                          <w:rFonts w:ascii="Cambria Math" w:hAnsi="Cambria Math" w:cs="Arial"/>
                          <w:iCs/>
                        </w:rPr>
                      </m:ctrlPr>
                    </m:sSupPr>
                    <m:e>
                      <m:r>
                        <m:rPr>
                          <m:sty m:val="p"/>
                        </m:rPr>
                        <w:rPr>
                          <w:rFonts w:ascii="Cambria Math" w:hAnsi="Cambria Math" w:cs="Arial"/>
                        </w:rPr>
                        <m:t>E</m:t>
                      </m:r>
                    </m:e>
                    <m:sup>
                      <m:r>
                        <m:rPr>
                          <m:sty m:val="p"/>
                        </m:rPr>
                        <w:rPr>
                          <w:rFonts w:ascii="Cambria Math" w:hAnsi="Cambria Math" w:cs="Arial"/>
                        </w:rPr>
                        <m:t>*</m:t>
                      </m:r>
                    </m:sup>
                  </m:sSup>
                  <m:r>
                    <m:rPr>
                      <m:sty m:val="p"/>
                    </m:rPr>
                    <w:rPr>
                      <w:rFonts w:ascii="Cambria Math" w:hAnsi="Cambria Math" w:cs="Arial"/>
                    </w:rPr>
                    <m:t>;GBP 2200000</m:t>
                  </m:r>
                </m:e>
              </m:d>
              <m:r>
                <m:rPr>
                  <m:sty m:val="p"/>
                </m:rPr>
                <w:rPr>
                  <w:rFonts w:ascii="Cambria Math" w:hAnsi="Cambria Math" w:cs="Arial"/>
                </w:rPr>
                <m:t>∙0.7619+ max</m:t>
              </m:r>
              <m:d>
                <m:dPr>
                  <m:begChr m:val="{"/>
                  <m:endChr m:val="}"/>
                  <m:ctrlPr>
                    <w:rPr>
                      <w:rFonts w:ascii="Cambria Math" w:hAnsi="Cambria Math" w:cs="Arial"/>
                      <w:iCs/>
                    </w:rPr>
                  </m:ctrlPr>
                </m:dPr>
                <m:e>
                  <m:sSup>
                    <m:sSupPr>
                      <m:ctrlPr>
                        <w:rPr>
                          <w:rFonts w:ascii="Cambria Math" w:hAnsi="Cambria Math" w:cs="Arial"/>
                          <w:iCs/>
                        </w:rPr>
                      </m:ctrlPr>
                    </m:sSupPr>
                    <m:e>
                      <m:r>
                        <m:rPr>
                          <m:sty m:val="p"/>
                        </m:rPr>
                        <w:rPr>
                          <w:rFonts w:ascii="Cambria Math" w:hAnsi="Cambria Math" w:cs="Arial"/>
                        </w:rPr>
                        <m:t>E</m:t>
                      </m:r>
                    </m:e>
                    <m:sup>
                      <m:r>
                        <m:rPr>
                          <m:sty m:val="p"/>
                        </m:rPr>
                        <w:rPr>
                          <w:rFonts w:ascii="Cambria Math" w:hAnsi="Cambria Math" w:cs="Arial"/>
                        </w:rPr>
                        <m:t>*</m:t>
                      </m:r>
                    </m:sup>
                  </m:sSup>
                  <m:r>
                    <m:rPr>
                      <m:sty m:val="p"/>
                    </m:rPr>
                    <w:rPr>
                      <w:rFonts w:ascii="Cambria Math" w:hAnsi="Cambria Math" w:cs="Arial"/>
                    </w:rPr>
                    <m:t xml:space="preserve"> -GBP 2200000;0</m:t>
                  </m:r>
                </m:e>
              </m:d>
              <m:r>
                <m:rPr>
                  <m:sty m:val="p"/>
                </m:rPr>
                <w:rPr>
                  <w:rFonts w:ascii="Cambria Math" w:hAnsi="Cambria Math" w:cs="Arial"/>
                </w:rPr>
                <m:t>∙0.85</m:t>
              </m:r>
            </m:num>
            <m:den>
              <m:sSup>
                <m:sSupPr>
                  <m:ctrlPr>
                    <w:rPr>
                      <w:rFonts w:ascii="Cambria Math" w:hAnsi="Cambria Math" w:cs="Arial"/>
                      <w:iCs/>
                    </w:rPr>
                  </m:ctrlPr>
                </m:sSupPr>
                <m:e>
                  <m:r>
                    <m:rPr>
                      <m:sty m:val="p"/>
                    </m:rPr>
                    <w:rPr>
                      <w:rFonts w:ascii="Cambria Math" w:hAnsi="Cambria Math" w:cs="Arial"/>
                    </w:rPr>
                    <m:t>E</m:t>
                  </m:r>
                </m:e>
                <m:sup>
                  <m:r>
                    <m:rPr>
                      <m:sty m:val="p"/>
                    </m:rPr>
                    <w:rPr>
                      <w:rFonts w:ascii="Cambria Math" w:hAnsi="Cambria Math" w:cs="Arial"/>
                    </w:rPr>
                    <m:t>*</m:t>
                  </m:r>
                </m:sup>
              </m:sSup>
            </m:den>
          </m:f>
        </m:oMath>
      </m:oMathPara>
    </w:p>
    <w:p w14:paraId="23A22890" w14:textId="77777777" w:rsidR="0085668D" w:rsidRPr="00BB79FA" w:rsidRDefault="0085668D" w:rsidP="00BF21BE">
      <w:pPr>
        <w:ind w:left="995" w:hanging="425"/>
        <w:rPr>
          <w:rFonts w:ascii="Arial" w:hAnsi="Arial" w:cs="Arial"/>
        </w:rPr>
      </w:pPr>
      <w:r w:rsidRPr="00BB79FA">
        <w:rPr>
          <w:rFonts w:ascii="Arial" w:hAnsi="Arial" w:cs="Arial"/>
        </w:rPr>
        <w:tab/>
        <w:t>except where E* = 0, in which case SF = 0.7619;</w:t>
      </w:r>
    </w:p>
    <w:p w14:paraId="3037F1DD" w14:textId="6E7FF163" w:rsidR="00481F75" w:rsidRPr="00BB79FA" w:rsidRDefault="0085668D" w:rsidP="0073503F">
      <w:pPr>
        <w:ind w:left="567" w:firstLine="3"/>
        <w:rPr>
          <w:rFonts w:ascii="Arial" w:hAnsi="Arial" w:cs="Arial"/>
          <w:b/>
          <w:bCs/>
        </w:rPr>
      </w:pPr>
      <w:r w:rsidRPr="00BB79FA">
        <w:rPr>
          <w:rFonts w:ascii="Arial" w:hAnsi="Arial" w:cs="Arial"/>
        </w:rPr>
        <w:t>For the purposes of the above, E* means the total amount owed to the institution, its subsidiaries, its parent undertakings and other subsidiaries of those parent undertakings, including any exposure in default, but excluding claims or contingent claims secured on residential property collateral, by the SME or the group of connected clients of the SME.</w:t>
      </w:r>
    </w:p>
    <w:p w14:paraId="2CCE1B4A" w14:textId="53BB1117" w:rsidR="002E7069" w:rsidRPr="00BB79FA" w:rsidRDefault="002E7069" w:rsidP="002E7069">
      <w:pPr>
        <w:rPr>
          <w:rFonts w:ascii="Arial" w:hAnsi="Arial" w:cs="Arial"/>
          <w:b/>
          <w:bCs/>
        </w:rPr>
      </w:pPr>
      <w:r w:rsidRPr="00BB79FA">
        <w:rPr>
          <w:rFonts w:ascii="Arial" w:hAnsi="Arial" w:cs="Arial"/>
          <w:b/>
          <w:bCs/>
        </w:rPr>
        <w:t>Infrastructure lending adjustment</w:t>
      </w:r>
    </w:p>
    <w:p w14:paraId="79F9B168" w14:textId="687A5674" w:rsidR="002E7069" w:rsidRPr="00BB79FA" w:rsidRDefault="002E7069" w:rsidP="00A23969">
      <w:pPr>
        <w:pStyle w:val="Heading2"/>
        <w:numPr>
          <w:ilvl w:val="1"/>
          <w:numId w:val="43"/>
        </w:numPr>
        <w:ind w:left="567" w:hanging="567"/>
      </w:pPr>
      <w:r w:rsidRPr="00BB79FA">
        <w:t xml:space="preserve">The infrastructure lending adjustment will be calculated on the basis of </w:t>
      </w:r>
      <w:r w:rsidR="005E5242" w:rsidRPr="00BB79FA">
        <w:t>a</w:t>
      </w:r>
      <w:r w:rsidR="00095537">
        <w:t>n SDDT’s</w:t>
      </w:r>
      <w:r w:rsidR="005E5242" w:rsidRPr="00BB79FA">
        <w:t xml:space="preserve"> </w:t>
      </w:r>
      <w:r w:rsidRPr="00BB79FA">
        <w:t xml:space="preserve">exposures </w:t>
      </w:r>
      <w:r w:rsidR="001A2D6B">
        <w:t xml:space="preserve">that </w:t>
      </w:r>
      <w:r w:rsidR="00496B78">
        <w:t>meet the eligibility criteria</w:t>
      </w:r>
      <w:r w:rsidR="001F7E0C">
        <w:t xml:space="preserve"> set out in paragraphs 1.8 and 1.9 below</w:t>
      </w:r>
      <w:r w:rsidRPr="00BB79FA">
        <w:t>.</w:t>
      </w:r>
    </w:p>
    <w:p w14:paraId="1AA9E758" w14:textId="57409E39" w:rsidR="003B580C" w:rsidRPr="00BB79FA" w:rsidRDefault="00167018" w:rsidP="00A23969">
      <w:pPr>
        <w:pStyle w:val="Heading2"/>
        <w:numPr>
          <w:ilvl w:val="1"/>
          <w:numId w:val="43"/>
        </w:numPr>
        <w:ind w:left="567" w:hanging="567"/>
      </w:pPr>
      <w:r w:rsidRPr="00BB79FA">
        <w:t xml:space="preserve">For the purpose of this </w:t>
      </w:r>
      <w:r w:rsidR="00F27B2A" w:rsidRPr="00BB79FA">
        <w:t>data collection, a</w:t>
      </w:r>
      <w:r w:rsidR="003B580C" w:rsidRPr="00BB79FA">
        <w:t xml:space="preserve">n exposure is eligible for the </w:t>
      </w:r>
      <w:r w:rsidR="003025B6">
        <w:t>i</w:t>
      </w:r>
      <w:r w:rsidR="003B580C" w:rsidRPr="00BB79FA">
        <w:t xml:space="preserve">nfrastructure </w:t>
      </w:r>
      <w:r w:rsidR="00496B78">
        <w:t xml:space="preserve">lending adjustment </w:t>
      </w:r>
      <w:r w:rsidR="003B580C" w:rsidRPr="00BB79FA">
        <w:t xml:space="preserve">where it is a non-defaulted exposure and if it fulfils the following criteria: </w:t>
      </w:r>
    </w:p>
    <w:p w14:paraId="025CA646" w14:textId="68FE7FFB" w:rsidR="003B580C" w:rsidRPr="00BB79FA" w:rsidRDefault="003B580C" w:rsidP="00571EAC">
      <w:pPr>
        <w:ind w:left="995" w:hanging="425"/>
        <w:rPr>
          <w:rFonts w:ascii="Arial" w:hAnsi="Arial" w:cs="Arial"/>
        </w:rPr>
      </w:pPr>
      <w:r w:rsidRPr="00BB79FA">
        <w:rPr>
          <w:rFonts w:ascii="Arial" w:hAnsi="Arial" w:cs="Arial"/>
        </w:rPr>
        <w:t>(1)</w:t>
      </w:r>
      <w:r w:rsidR="00325C32">
        <w:rPr>
          <w:rFonts w:ascii="Arial" w:hAnsi="Arial" w:cs="Arial"/>
        </w:rPr>
        <w:tab/>
      </w:r>
      <w:r w:rsidRPr="00BB79FA">
        <w:rPr>
          <w:rFonts w:ascii="Arial" w:hAnsi="Arial" w:cs="Arial"/>
        </w:rPr>
        <w:t xml:space="preserve">the exposure is assigned to the exposure class referred to in point (g) of </w:t>
      </w:r>
      <w:r w:rsidRPr="00BB79FA">
        <w:rPr>
          <w:rFonts w:ascii="Arial" w:hAnsi="Arial" w:cs="Arial"/>
          <w:lang w:eastAsia="en-GB"/>
        </w:rPr>
        <w:t xml:space="preserve">paragraph 1 of </w:t>
      </w:r>
      <w:r w:rsidRPr="00BB79FA">
        <w:rPr>
          <w:rFonts w:ascii="Arial" w:hAnsi="Arial" w:cs="Arial"/>
        </w:rPr>
        <w:t xml:space="preserve">Credit Risk: Standardised Approach (CRR) Part Article 112; </w:t>
      </w:r>
    </w:p>
    <w:p w14:paraId="7CD22C6D" w14:textId="77777777" w:rsidR="003B580C" w:rsidRPr="00BB79FA" w:rsidRDefault="003B580C" w:rsidP="003B580C">
      <w:pPr>
        <w:ind w:left="995" w:hanging="425"/>
        <w:rPr>
          <w:rFonts w:ascii="Arial" w:hAnsi="Arial" w:cs="Arial"/>
        </w:rPr>
      </w:pPr>
      <w:r w:rsidRPr="00BB79FA">
        <w:rPr>
          <w:rFonts w:ascii="Arial" w:hAnsi="Arial" w:cs="Arial"/>
        </w:rPr>
        <w:t xml:space="preserve">(2) </w:t>
      </w:r>
      <w:r w:rsidRPr="00BB79FA">
        <w:rPr>
          <w:rFonts w:ascii="Arial" w:hAnsi="Arial" w:cs="Arial"/>
        </w:rPr>
        <w:tab/>
        <w:t>the exposure is to an entity which was created specifically to finance or operate physical structures or facilities, systems and networks that provide or support essential public services;</w:t>
      </w:r>
    </w:p>
    <w:p w14:paraId="25FF46DD" w14:textId="341EC4A5" w:rsidR="003B580C" w:rsidRPr="00BB79FA" w:rsidRDefault="003B580C" w:rsidP="003B580C">
      <w:pPr>
        <w:ind w:left="995" w:hanging="425"/>
        <w:rPr>
          <w:rFonts w:ascii="Arial" w:hAnsi="Arial" w:cs="Arial"/>
        </w:rPr>
      </w:pPr>
      <w:r w:rsidRPr="00BB79FA">
        <w:rPr>
          <w:rFonts w:ascii="Arial" w:hAnsi="Arial" w:cs="Arial"/>
        </w:rPr>
        <w:t xml:space="preserve">(3) </w:t>
      </w:r>
      <w:r w:rsidRPr="00BB79FA">
        <w:rPr>
          <w:rFonts w:ascii="Arial" w:hAnsi="Arial" w:cs="Arial"/>
        </w:rPr>
        <w:tab/>
        <w:t>the source of repayment of the obligation is represented for not less than two thirds of its amount by the income generated by the assets being financed, rather than the independent capacity of a broader commercial enterprise, or by subsidies, grants or funding provided by one or more entities listed in points (a) and (b) of 1.</w:t>
      </w:r>
      <w:r w:rsidR="00043526" w:rsidRPr="00BB79FA">
        <w:rPr>
          <w:rFonts w:ascii="Arial" w:hAnsi="Arial" w:cs="Arial"/>
        </w:rPr>
        <w:t>9</w:t>
      </w:r>
      <w:r w:rsidRPr="00BB79FA">
        <w:rPr>
          <w:rFonts w:ascii="Arial" w:hAnsi="Arial" w:cs="Arial"/>
        </w:rPr>
        <w:t>(2);</w:t>
      </w:r>
    </w:p>
    <w:p w14:paraId="4D4E4A1A" w14:textId="77777777" w:rsidR="003B580C" w:rsidRPr="00BB79FA" w:rsidRDefault="003B580C" w:rsidP="003B580C">
      <w:pPr>
        <w:ind w:left="995" w:hanging="425"/>
        <w:rPr>
          <w:rFonts w:ascii="Arial" w:hAnsi="Arial" w:cs="Arial"/>
        </w:rPr>
      </w:pPr>
      <w:r w:rsidRPr="00BB79FA">
        <w:rPr>
          <w:rFonts w:ascii="Arial" w:hAnsi="Arial" w:cs="Arial"/>
        </w:rPr>
        <w:lastRenderedPageBreak/>
        <w:t xml:space="preserve">(4) </w:t>
      </w:r>
      <w:r w:rsidRPr="00BB79FA">
        <w:rPr>
          <w:rFonts w:ascii="Arial" w:hAnsi="Arial" w:cs="Arial"/>
        </w:rPr>
        <w:tab/>
        <w:t>the obligor can meet its financial obligations even under severely stressed conditions that are relevant for the risk of the project;</w:t>
      </w:r>
    </w:p>
    <w:p w14:paraId="4F7D9BAA" w14:textId="77777777" w:rsidR="003B580C" w:rsidRPr="00BB79FA" w:rsidRDefault="003B580C" w:rsidP="003B580C">
      <w:pPr>
        <w:ind w:left="995" w:hanging="425"/>
        <w:rPr>
          <w:rFonts w:ascii="Arial" w:hAnsi="Arial" w:cs="Arial"/>
        </w:rPr>
      </w:pPr>
      <w:r w:rsidRPr="00BB79FA">
        <w:rPr>
          <w:rFonts w:ascii="Arial" w:hAnsi="Arial" w:cs="Arial"/>
        </w:rPr>
        <w:t xml:space="preserve">(5) </w:t>
      </w:r>
      <w:r w:rsidRPr="00BB79FA">
        <w:rPr>
          <w:rFonts w:ascii="Arial" w:hAnsi="Arial" w:cs="Arial"/>
        </w:rPr>
        <w:tab/>
        <w:t>the cash-flows that the obligor generates are predictable and cover all future loan repayments during the duration of the loan;</w:t>
      </w:r>
    </w:p>
    <w:p w14:paraId="20C9A8E5" w14:textId="3D20C589" w:rsidR="003B580C" w:rsidRPr="00BB79FA" w:rsidRDefault="003B580C" w:rsidP="003B580C">
      <w:pPr>
        <w:ind w:left="995" w:hanging="425"/>
        <w:rPr>
          <w:rFonts w:ascii="Arial" w:hAnsi="Arial" w:cs="Arial"/>
        </w:rPr>
      </w:pPr>
      <w:r w:rsidRPr="00BB79FA">
        <w:rPr>
          <w:rFonts w:ascii="Arial" w:hAnsi="Arial" w:cs="Arial"/>
        </w:rPr>
        <w:t xml:space="preserve">(6) </w:t>
      </w:r>
      <w:r w:rsidRPr="00BB79FA">
        <w:rPr>
          <w:rFonts w:ascii="Arial" w:hAnsi="Arial" w:cs="Arial"/>
        </w:rPr>
        <w:tab/>
        <w:t>the re-financing risk of the exposure is low or adequately mitigated, taking into account any subsidies, grants or funding provided by one or more of the entities listed in points (a) and (b) of 1.</w:t>
      </w:r>
      <w:r w:rsidR="00043526" w:rsidRPr="00BB79FA">
        <w:rPr>
          <w:rFonts w:ascii="Arial" w:hAnsi="Arial" w:cs="Arial"/>
        </w:rPr>
        <w:t>9</w:t>
      </w:r>
      <w:r w:rsidRPr="00BB79FA">
        <w:rPr>
          <w:rFonts w:ascii="Arial" w:hAnsi="Arial" w:cs="Arial"/>
        </w:rPr>
        <w:t>(2);</w:t>
      </w:r>
    </w:p>
    <w:p w14:paraId="73610E63" w14:textId="77777777" w:rsidR="003B580C" w:rsidRPr="00BB79FA" w:rsidRDefault="003B580C" w:rsidP="003B580C">
      <w:pPr>
        <w:ind w:left="995" w:hanging="425"/>
        <w:rPr>
          <w:rFonts w:ascii="Arial" w:hAnsi="Arial" w:cs="Arial"/>
        </w:rPr>
      </w:pPr>
      <w:r w:rsidRPr="00BB79FA">
        <w:rPr>
          <w:rFonts w:ascii="Arial" w:hAnsi="Arial" w:cs="Arial"/>
        </w:rPr>
        <w:t xml:space="preserve">(7) </w:t>
      </w:r>
      <w:r w:rsidRPr="00BB79FA">
        <w:rPr>
          <w:rFonts w:ascii="Arial" w:hAnsi="Arial" w:cs="Arial"/>
        </w:rPr>
        <w:tab/>
        <w:t>the contractual arrangements provide lenders with a high degree of protection including the following:</w:t>
      </w:r>
    </w:p>
    <w:p w14:paraId="6D71EAD1" w14:textId="77777777" w:rsidR="003B580C" w:rsidRPr="00BB79FA" w:rsidRDefault="003B580C" w:rsidP="003B580C">
      <w:pPr>
        <w:ind w:left="1440" w:hanging="510"/>
        <w:rPr>
          <w:rFonts w:ascii="Arial" w:hAnsi="Arial" w:cs="Arial"/>
        </w:rPr>
      </w:pPr>
      <w:r w:rsidRPr="00BB79FA">
        <w:rPr>
          <w:rFonts w:ascii="Arial" w:hAnsi="Arial" w:cs="Arial"/>
        </w:rPr>
        <w:t xml:space="preserve">(a) </w:t>
      </w:r>
      <w:r w:rsidRPr="00BB79FA">
        <w:rPr>
          <w:rFonts w:ascii="Arial" w:hAnsi="Arial" w:cs="Arial"/>
        </w:rPr>
        <w:tab/>
        <w:t>where the revenues of the obligor are not funded by payments from a large number of users, the contractual arrangements shall include provisions that effectively protect lenders against losses resulting from the termination of the project by the party which agrees to purchase the goods or services provided by the obligor;</w:t>
      </w:r>
    </w:p>
    <w:p w14:paraId="464A41B2" w14:textId="77777777" w:rsidR="003B580C" w:rsidRPr="00BB79FA" w:rsidRDefault="003B580C" w:rsidP="003B580C">
      <w:pPr>
        <w:ind w:left="1440" w:hanging="510"/>
        <w:rPr>
          <w:rFonts w:ascii="Arial" w:hAnsi="Arial" w:cs="Arial"/>
        </w:rPr>
      </w:pPr>
      <w:r w:rsidRPr="00BB79FA">
        <w:rPr>
          <w:rFonts w:ascii="Arial" w:hAnsi="Arial" w:cs="Arial"/>
        </w:rPr>
        <w:t xml:space="preserve">(b) </w:t>
      </w:r>
      <w:r w:rsidRPr="00BB79FA">
        <w:rPr>
          <w:rFonts w:ascii="Arial" w:hAnsi="Arial" w:cs="Arial"/>
        </w:rPr>
        <w:tab/>
        <w:t>the obligor has sufficient reserve funds fully funded in cash or other financial arrangements with highly rated guarantors to cover the contingency funding and working capital requirements over the lifetime of the assets referred to in paragraph 2;</w:t>
      </w:r>
    </w:p>
    <w:p w14:paraId="29C7278D" w14:textId="77777777" w:rsidR="003B580C" w:rsidRPr="00BB79FA" w:rsidRDefault="003B580C" w:rsidP="003B580C">
      <w:pPr>
        <w:ind w:left="1440" w:hanging="510"/>
        <w:rPr>
          <w:rFonts w:ascii="Arial" w:hAnsi="Arial" w:cs="Arial"/>
        </w:rPr>
      </w:pPr>
      <w:r w:rsidRPr="00BB79FA">
        <w:rPr>
          <w:rFonts w:ascii="Arial" w:hAnsi="Arial" w:cs="Arial"/>
        </w:rPr>
        <w:t xml:space="preserve">(c) </w:t>
      </w:r>
      <w:r w:rsidRPr="00BB79FA">
        <w:rPr>
          <w:rFonts w:ascii="Arial" w:hAnsi="Arial" w:cs="Arial"/>
        </w:rPr>
        <w:tab/>
        <w:t>the lenders have a substantial degree of control over the assets and the income generated by the obligor;</w:t>
      </w:r>
    </w:p>
    <w:p w14:paraId="5845168D" w14:textId="77777777" w:rsidR="003B580C" w:rsidRPr="00BB79FA" w:rsidRDefault="003B580C" w:rsidP="003B580C">
      <w:pPr>
        <w:ind w:left="1440" w:hanging="510"/>
        <w:rPr>
          <w:rFonts w:ascii="Arial" w:hAnsi="Arial" w:cs="Arial"/>
        </w:rPr>
      </w:pPr>
      <w:r w:rsidRPr="00BB79FA">
        <w:rPr>
          <w:rFonts w:ascii="Arial" w:hAnsi="Arial" w:cs="Arial"/>
        </w:rPr>
        <w:t xml:space="preserve">(d) </w:t>
      </w:r>
      <w:r w:rsidRPr="00BB79FA">
        <w:rPr>
          <w:rFonts w:ascii="Arial" w:hAnsi="Arial" w:cs="Arial"/>
        </w:rPr>
        <w:tab/>
        <w:t>the lenders have the benefit of security to the extent permitted by applicable law in assets and contracts critical to the infrastructure business or have alternative mechanisms in place to secure their position;</w:t>
      </w:r>
    </w:p>
    <w:p w14:paraId="6D7F0041" w14:textId="77777777" w:rsidR="003B580C" w:rsidRPr="00BB79FA" w:rsidRDefault="003B580C" w:rsidP="003B580C">
      <w:pPr>
        <w:ind w:left="1440" w:hanging="510"/>
        <w:rPr>
          <w:rFonts w:ascii="Arial" w:hAnsi="Arial" w:cs="Arial"/>
        </w:rPr>
      </w:pPr>
      <w:r w:rsidRPr="00BB79FA">
        <w:rPr>
          <w:rFonts w:ascii="Arial" w:hAnsi="Arial" w:cs="Arial"/>
        </w:rPr>
        <w:t>(e)</w:t>
      </w:r>
      <w:r w:rsidRPr="00BB79FA">
        <w:rPr>
          <w:rFonts w:ascii="Arial" w:hAnsi="Arial" w:cs="Arial"/>
        </w:rPr>
        <w:tab/>
        <w:t>equity is pledged to lenders such that they are able to take control of the entity upon default;</w:t>
      </w:r>
    </w:p>
    <w:p w14:paraId="3C39A012" w14:textId="77777777" w:rsidR="003B580C" w:rsidRPr="00BB79FA" w:rsidRDefault="003B580C" w:rsidP="003B580C">
      <w:pPr>
        <w:ind w:left="1440" w:hanging="510"/>
        <w:rPr>
          <w:rFonts w:ascii="Arial" w:hAnsi="Arial" w:cs="Arial"/>
        </w:rPr>
      </w:pPr>
      <w:r w:rsidRPr="00BB79FA">
        <w:rPr>
          <w:rFonts w:ascii="Arial" w:hAnsi="Arial" w:cs="Arial"/>
        </w:rPr>
        <w:t>(f)</w:t>
      </w:r>
      <w:r w:rsidRPr="00BB79FA">
        <w:rPr>
          <w:rFonts w:ascii="Arial" w:hAnsi="Arial" w:cs="Arial"/>
        </w:rPr>
        <w:tab/>
        <w:t>the use of net operating cash-flows after mandatory payments from the project for purposes other than servicing debt obligations is restricted;</w:t>
      </w:r>
    </w:p>
    <w:p w14:paraId="09BEA018" w14:textId="77777777" w:rsidR="003B580C" w:rsidRPr="00BB79FA" w:rsidRDefault="003B580C" w:rsidP="003B580C">
      <w:pPr>
        <w:ind w:left="1440" w:hanging="510"/>
        <w:rPr>
          <w:rFonts w:ascii="Arial" w:hAnsi="Arial" w:cs="Arial"/>
        </w:rPr>
      </w:pPr>
      <w:r w:rsidRPr="00BB79FA">
        <w:rPr>
          <w:rFonts w:ascii="Arial" w:hAnsi="Arial" w:cs="Arial"/>
        </w:rPr>
        <w:t xml:space="preserve">(g) </w:t>
      </w:r>
      <w:r w:rsidRPr="00BB79FA">
        <w:rPr>
          <w:rFonts w:ascii="Arial" w:hAnsi="Arial" w:cs="Arial"/>
        </w:rPr>
        <w:tab/>
        <w:t>there are contractual restrictions on the ability of the obligor to perform activities that may be detrimental to lenders, including the restriction that new debt cannot be issued without the consent of the existing debt providers;</w:t>
      </w:r>
    </w:p>
    <w:p w14:paraId="71106C1E" w14:textId="77777777" w:rsidR="003B580C" w:rsidRPr="00BB79FA" w:rsidRDefault="003B580C" w:rsidP="003B580C">
      <w:pPr>
        <w:ind w:left="995" w:hanging="425"/>
        <w:rPr>
          <w:rFonts w:ascii="Arial" w:hAnsi="Arial" w:cs="Arial"/>
        </w:rPr>
      </w:pPr>
      <w:r w:rsidRPr="00BB79FA">
        <w:rPr>
          <w:rFonts w:ascii="Arial" w:hAnsi="Arial" w:cs="Arial"/>
        </w:rPr>
        <w:t>(8)</w:t>
      </w:r>
      <w:r w:rsidRPr="00BB79FA">
        <w:rPr>
          <w:rFonts w:ascii="Arial" w:hAnsi="Arial" w:cs="Arial"/>
        </w:rPr>
        <w:tab/>
        <w:t>the obligation is senior to all other claims other than statutory claims and claims from derivatives counterparties;</w:t>
      </w:r>
    </w:p>
    <w:p w14:paraId="1E10ABF8" w14:textId="77777777" w:rsidR="003B580C" w:rsidRPr="00BB79FA" w:rsidRDefault="003B580C" w:rsidP="003B580C">
      <w:pPr>
        <w:ind w:left="995" w:hanging="425"/>
        <w:rPr>
          <w:rFonts w:ascii="Arial" w:hAnsi="Arial" w:cs="Arial"/>
        </w:rPr>
      </w:pPr>
      <w:r w:rsidRPr="00BB79FA">
        <w:rPr>
          <w:rFonts w:ascii="Arial" w:hAnsi="Arial" w:cs="Arial"/>
        </w:rPr>
        <w:t>(9)</w:t>
      </w:r>
      <w:r w:rsidRPr="00BB79FA">
        <w:rPr>
          <w:rFonts w:ascii="Arial" w:hAnsi="Arial" w:cs="Arial"/>
        </w:rPr>
        <w:tab/>
        <w:t>where the obligation is in the construction phase, the following criteria shall be fulfilled by the equity investor, or where there is more than one equity investor, the following criteria shall be fulfilled by a group of equity investors as a whole:</w:t>
      </w:r>
    </w:p>
    <w:p w14:paraId="00A20052" w14:textId="77777777" w:rsidR="003B580C" w:rsidRPr="00BB79FA" w:rsidRDefault="003B580C" w:rsidP="003B580C">
      <w:pPr>
        <w:ind w:left="1418" w:hanging="425"/>
        <w:rPr>
          <w:rFonts w:ascii="Arial" w:hAnsi="Arial" w:cs="Arial"/>
        </w:rPr>
      </w:pPr>
      <w:r w:rsidRPr="00BB79FA">
        <w:rPr>
          <w:rFonts w:ascii="Arial" w:hAnsi="Arial" w:cs="Arial"/>
        </w:rPr>
        <w:lastRenderedPageBreak/>
        <w:t>(a)</w:t>
      </w:r>
      <w:r w:rsidRPr="00BB79FA">
        <w:rPr>
          <w:rFonts w:ascii="Arial" w:hAnsi="Arial" w:cs="Arial"/>
        </w:rPr>
        <w:tab/>
        <w:t>the equity investors have a history of successfully overseeing infrastructure projects, the financial strength and the relevant expertise;</w:t>
      </w:r>
    </w:p>
    <w:p w14:paraId="61F2F83E" w14:textId="77777777" w:rsidR="003B580C" w:rsidRPr="00BB79FA" w:rsidRDefault="003B580C" w:rsidP="003B580C">
      <w:pPr>
        <w:ind w:left="1418" w:hanging="425"/>
        <w:rPr>
          <w:rFonts w:ascii="Arial" w:hAnsi="Arial" w:cs="Arial"/>
        </w:rPr>
      </w:pPr>
      <w:r w:rsidRPr="00BB79FA">
        <w:rPr>
          <w:rFonts w:ascii="Arial" w:hAnsi="Arial" w:cs="Arial"/>
        </w:rPr>
        <w:t>(b)</w:t>
      </w:r>
      <w:r w:rsidRPr="00BB79FA">
        <w:rPr>
          <w:rFonts w:ascii="Arial" w:hAnsi="Arial" w:cs="Arial"/>
        </w:rPr>
        <w:tab/>
        <w:t>the equity investors have a low risk of default, or there is a low risk of material losses for the obligor as a result of their default;</w:t>
      </w:r>
    </w:p>
    <w:p w14:paraId="412A540B" w14:textId="6F9BA10A" w:rsidR="003B580C" w:rsidRPr="00BB79FA" w:rsidRDefault="003B580C" w:rsidP="003B580C">
      <w:pPr>
        <w:ind w:left="1418" w:hanging="425"/>
        <w:rPr>
          <w:rFonts w:ascii="Arial" w:hAnsi="Arial" w:cs="Arial"/>
        </w:rPr>
      </w:pPr>
      <w:r w:rsidRPr="00BB79FA">
        <w:rPr>
          <w:rFonts w:ascii="Arial" w:hAnsi="Arial" w:cs="Arial"/>
        </w:rPr>
        <w:t>(c)</w:t>
      </w:r>
      <w:r w:rsidRPr="00BB79FA">
        <w:rPr>
          <w:rFonts w:ascii="Arial" w:hAnsi="Arial" w:cs="Arial"/>
        </w:rPr>
        <w:tab/>
        <w:t>there are adequate mechanism</w:t>
      </w:r>
      <w:r w:rsidR="00755F15">
        <w:rPr>
          <w:rFonts w:ascii="Arial" w:hAnsi="Arial" w:cs="Arial"/>
        </w:rPr>
        <w:t>s</w:t>
      </w:r>
      <w:r w:rsidRPr="00BB79FA">
        <w:rPr>
          <w:rFonts w:ascii="Arial" w:hAnsi="Arial" w:cs="Arial"/>
        </w:rPr>
        <w:t xml:space="preserve"> in place to align the interest of the equity investors with the interests of lenders;</w:t>
      </w:r>
    </w:p>
    <w:p w14:paraId="0FE6F00F" w14:textId="77777777" w:rsidR="003B580C" w:rsidRPr="00BB79FA" w:rsidRDefault="003B580C" w:rsidP="003B580C">
      <w:pPr>
        <w:ind w:left="995" w:hanging="425"/>
        <w:rPr>
          <w:rFonts w:ascii="Arial" w:hAnsi="Arial" w:cs="Arial"/>
        </w:rPr>
      </w:pPr>
      <w:r w:rsidRPr="00BB79FA">
        <w:rPr>
          <w:rFonts w:ascii="Arial" w:hAnsi="Arial" w:cs="Arial"/>
        </w:rPr>
        <w:t>(10)</w:t>
      </w:r>
      <w:r w:rsidRPr="00BB79FA">
        <w:rPr>
          <w:rFonts w:ascii="Arial" w:hAnsi="Arial" w:cs="Arial"/>
        </w:rPr>
        <w:tab/>
        <w:t>the obligor has adequate safeguards to ensure completion of the project according to the agreed specification, budget or completion date; including strong completion guarantees or the involvement of an experienced constructor and adequate contract provisions for liquidated damages;</w:t>
      </w:r>
    </w:p>
    <w:p w14:paraId="29941C8F" w14:textId="4BEDE4EB" w:rsidR="003B580C" w:rsidRPr="00BB79FA" w:rsidRDefault="003B580C" w:rsidP="003B580C">
      <w:pPr>
        <w:ind w:left="995" w:hanging="425"/>
        <w:rPr>
          <w:rFonts w:ascii="Arial" w:hAnsi="Arial" w:cs="Arial"/>
        </w:rPr>
      </w:pPr>
      <w:r w:rsidRPr="00BB79FA">
        <w:rPr>
          <w:rFonts w:ascii="Arial" w:hAnsi="Arial" w:cs="Arial"/>
        </w:rPr>
        <w:t>(11)</w:t>
      </w:r>
      <w:r w:rsidR="00400477" w:rsidRPr="00BB79FA">
        <w:rPr>
          <w:rFonts w:ascii="Arial" w:hAnsi="Arial" w:cs="Arial"/>
        </w:rPr>
        <w:tab/>
      </w:r>
      <w:r w:rsidRPr="00BB79FA">
        <w:rPr>
          <w:rFonts w:ascii="Arial" w:hAnsi="Arial" w:cs="Arial"/>
        </w:rPr>
        <w:t>where operating risks are material, they are properly managed;</w:t>
      </w:r>
    </w:p>
    <w:p w14:paraId="32185AC3" w14:textId="77777777" w:rsidR="003B580C" w:rsidRPr="00BB79FA" w:rsidRDefault="003B580C" w:rsidP="003B580C">
      <w:pPr>
        <w:ind w:left="995" w:hanging="425"/>
        <w:rPr>
          <w:rFonts w:ascii="Arial" w:hAnsi="Arial" w:cs="Arial"/>
        </w:rPr>
      </w:pPr>
      <w:r w:rsidRPr="00BB79FA">
        <w:rPr>
          <w:rFonts w:ascii="Arial" w:hAnsi="Arial" w:cs="Arial"/>
        </w:rPr>
        <w:t>(12)</w:t>
      </w:r>
      <w:r w:rsidRPr="00BB79FA">
        <w:rPr>
          <w:rFonts w:ascii="Arial" w:hAnsi="Arial" w:cs="Arial"/>
        </w:rPr>
        <w:tab/>
        <w:t>the obligor uses tested technology and design;</w:t>
      </w:r>
    </w:p>
    <w:p w14:paraId="6B5EC93F" w14:textId="77777777" w:rsidR="003B580C" w:rsidRPr="00BB79FA" w:rsidRDefault="003B580C" w:rsidP="003B580C">
      <w:pPr>
        <w:ind w:left="995" w:hanging="425"/>
        <w:rPr>
          <w:rFonts w:ascii="Arial" w:hAnsi="Arial" w:cs="Arial"/>
        </w:rPr>
      </w:pPr>
      <w:r w:rsidRPr="00BB79FA">
        <w:rPr>
          <w:rFonts w:ascii="Arial" w:hAnsi="Arial" w:cs="Arial"/>
        </w:rPr>
        <w:t>(13)</w:t>
      </w:r>
      <w:r w:rsidRPr="00BB79FA">
        <w:rPr>
          <w:rFonts w:ascii="Arial" w:hAnsi="Arial" w:cs="Arial"/>
        </w:rPr>
        <w:tab/>
        <w:t>all necessary permits and authorisations have been obtained;</w:t>
      </w:r>
    </w:p>
    <w:p w14:paraId="2E5B70FF" w14:textId="77777777" w:rsidR="003B580C" w:rsidRPr="00BB79FA" w:rsidRDefault="003B580C" w:rsidP="003B580C">
      <w:pPr>
        <w:ind w:left="995" w:hanging="425"/>
        <w:rPr>
          <w:rFonts w:ascii="Arial" w:hAnsi="Arial" w:cs="Arial"/>
        </w:rPr>
      </w:pPr>
      <w:r w:rsidRPr="00BB79FA">
        <w:rPr>
          <w:rFonts w:ascii="Arial" w:hAnsi="Arial" w:cs="Arial"/>
        </w:rPr>
        <w:t>(14)</w:t>
      </w:r>
      <w:r w:rsidRPr="00BB79FA">
        <w:rPr>
          <w:rFonts w:ascii="Arial" w:hAnsi="Arial" w:cs="Arial"/>
        </w:rPr>
        <w:tab/>
        <w:t>the obligor uses derivatives only for risk-mitigation purposes;</w:t>
      </w:r>
    </w:p>
    <w:p w14:paraId="050AAAE6" w14:textId="77777777" w:rsidR="003B580C" w:rsidRPr="00BB79FA" w:rsidRDefault="003B580C" w:rsidP="003B580C">
      <w:pPr>
        <w:ind w:left="995" w:hanging="425"/>
        <w:rPr>
          <w:rFonts w:ascii="Arial" w:hAnsi="Arial" w:cs="Arial"/>
        </w:rPr>
      </w:pPr>
      <w:r w:rsidRPr="00BB79FA">
        <w:rPr>
          <w:rFonts w:ascii="Arial" w:hAnsi="Arial" w:cs="Arial"/>
        </w:rPr>
        <w:t>(15)</w:t>
      </w:r>
      <w:r w:rsidRPr="00BB79FA">
        <w:rPr>
          <w:rFonts w:ascii="Arial" w:hAnsi="Arial" w:cs="Arial"/>
        </w:rPr>
        <w:tab/>
        <w:t>the obligor has carried out an assessment whether the assets being financed contribute to the following environmental objectives:</w:t>
      </w:r>
    </w:p>
    <w:p w14:paraId="054AFF3E" w14:textId="77777777" w:rsidR="003B580C" w:rsidRPr="00BB79FA" w:rsidRDefault="003B580C" w:rsidP="003B580C">
      <w:pPr>
        <w:ind w:left="1418" w:hanging="425"/>
        <w:rPr>
          <w:rFonts w:ascii="Arial" w:hAnsi="Arial" w:cs="Arial"/>
        </w:rPr>
      </w:pPr>
      <w:r w:rsidRPr="00BB79FA">
        <w:rPr>
          <w:rFonts w:ascii="Arial" w:hAnsi="Arial" w:cs="Arial"/>
        </w:rPr>
        <w:t>(a)</w:t>
      </w:r>
      <w:r w:rsidRPr="00BB79FA">
        <w:rPr>
          <w:rFonts w:ascii="Arial" w:hAnsi="Arial" w:cs="Arial"/>
        </w:rPr>
        <w:tab/>
        <w:t>climate change mitigation;</w:t>
      </w:r>
    </w:p>
    <w:p w14:paraId="292E9E27" w14:textId="77777777" w:rsidR="003B580C" w:rsidRPr="00BB79FA" w:rsidRDefault="003B580C" w:rsidP="003B580C">
      <w:pPr>
        <w:ind w:left="1418" w:hanging="425"/>
        <w:rPr>
          <w:rFonts w:ascii="Arial" w:hAnsi="Arial" w:cs="Arial"/>
        </w:rPr>
      </w:pPr>
      <w:r w:rsidRPr="00BB79FA">
        <w:rPr>
          <w:rFonts w:ascii="Arial" w:hAnsi="Arial" w:cs="Arial"/>
        </w:rPr>
        <w:t>(b)</w:t>
      </w:r>
      <w:r w:rsidRPr="00BB79FA">
        <w:rPr>
          <w:rFonts w:ascii="Arial" w:hAnsi="Arial" w:cs="Arial"/>
        </w:rPr>
        <w:tab/>
        <w:t>climate change adaption;</w:t>
      </w:r>
    </w:p>
    <w:p w14:paraId="7C761395" w14:textId="77777777" w:rsidR="003B580C" w:rsidRPr="00BB79FA" w:rsidRDefault="003B580C" w:rsidP="003B580C">
      <w:pPr>
        <w:ind w:left="1418" w:hanging="425"/>
        <w:rPr>
          <w:rFonts w:ascii="Arial" w:hAnsi="Arial" w:cs="Arial"/>
        </w:rPr>
      </w:pPr>
      <w:r w:rsidRPr="00BB79FA">
        <w:rPr>
          <w:rFonts w:ascii="Arial" w:hAnsi="Arial" w:cs="Arial"/>
        </w:rPr>
        <w:t>(c)</w:t>
      </w:r>
      <w:r w:rsidRPr="00BB79FA">
        <w:rPr>
          <w:rFonts w:ascii="Arial" w:hAnsi="Arial" w:cs="Arial"/>
        </w:rPr>
        <w:tab/>
        <w:t>sustainable use and protection of water and marine resources;</w:t>
      </w:r>
    </w:p>
    <w:p w14:paraId="58DA3E07" w14:textId="77777777" w:rsidR="003B580C" w:rsidRPr="00BB79FA" w:rsidRDefault="003B580C" w:rsidP="003B580C">
      <w:pPr>
        <w:ind w:left="1418" w:hanging="425"/>
        <w:rPr>
          <w:rFonts w:ascii="Arial" w:hAnsi="Arial" w:cs="Arial"/>
        </w:rPr>
      </w:pPr>
      <w:r w:rsidRPr="00BB79FA">
        <w:rPr>
          <w:rFonts w:ascii="Arial" w:hAnsi="Arial" w:cs="Arial"/>
        </w:rPr>
        <w:t>(d)</w:t>
      </w:r>
      <w:r w:rsidRPr="00BB79FA">
        <w:rPr>
          <w:rFonts w:ascii="Arial" w:hAnsi="Arial" w:cs="Arial"/>
        </w:rPr>
        <w:tab/>
        <w:t>transitions to a circular economy, waste prevention and recycling;</w:t>
      </w:r>
    </w:p>
    <w:p w14:paraId="478A78F8" w14:textId="77777777" w:rsidR="003B580C" w:rsidRPr="00BB79FA" w:rsidRDefault="003B580C" w:rsidP="003B580C">
      <w:pPr>
        <w:ind w:left="1418" w:hanging="425"/>
        <w:rPr>
          <w:rFonts w:ascii="Arial" w:hAnsi="Arial" w:cs="Arial"/>
        </w:rPr>
      </w:pPr>
      <w:r w:rsidRPr="00BB79FA">
        <w:rPr>
          <w:rFonts w:ascii="Arial" w:hAnsi="Arial" w:cs="Arial"/>
        </w:rPr>
        <w:t>(e)</w:t>
      </w:r>
      <w:r w:rsidRPr="00BB79FA">
        <w:rPr>
          <w:rFonts w:ascii="Arial" w:hAnsi="Arial" w:cs="Arial"/>
        </w:rPr>
        <w:tab/>
        <w:t>pollution prevention and control;</w:t>
      </w:r>
    </w:p>
    <w:p w14:paraId="264FA78C" w14:textId="77777777" w:rsidR="003B580C" w:rsidRPr="00BB79FA" w:rsidRDefault="003B580C" w:rsidP="003B580C">
      <w:pPr>
        <w:ind w:left="1418" w:hanging="425"/>
        <w:rPr>
          <w:rFonts w:ascii="Arial" w:hAnsi="Arial" w:cs="Arial"/>
        </w:rPr>
      </w:pPr>
      <w:r w:rsidRPr="00BB79FA">
        <w:rPr>
          <w:rFonts w:ascii="Arial" w:hAnsi="Arial" w:cs="Arial"/>
        </w:rPr>
        <w:t>(f)</w:t>
      </w:r>
      <w:r w:rsidRPr="00BB79FA">
        <w:rPr>
          <w:rFonts w:ascii="Arial" w:hAnsi="Arial" w:cs="Arial"/>
        </w:rPr>
        <w:tab/>
        <w:t>protection of healthy ecosystems.</w:t>
      </w:r>
    </w:p>
    <w:p w14:paraId="58DB7D73" w14:textId="1E6AD625" w:rsidR="003B580C" w:rsidRPr="00BB79FA" w:rsidRDefault="003B580C" w:rsidP="00A23969">
      <w:pPr>
        <w:pStyle w:val="Heading2"/>
        <w:numPr>
          <w:ilvl w:val="1"/>
          <w:numId w:val="43"/>
        </w:numPr>
        <w:ind w:left="567" w:hanging="567"/>
      </w:pPr>
      <w:r w:rsidRPr="00BB79FA">
        <w:t>For the purposes of 1.</w:t>
      </w:r>
      <w:r w:rsidR="00A54064" w:rsidRPr="00BB79FA">
        <w:t>8</w:t>
      </w:r>
      <w:r w:rsidRPr="00BB79FA">
        <w:t>(5), the cash-flows generated shall not be considered predictable unless a substantial part of the revenues satisfies the following conditions:</w:t>
      </w:r>
    </w:p>
    <w:p w14:paraId="77688B93" w14:textId="77777777" w:rsidR="003B580C" w:rsidRPr="00BB79FA" w:rsidRDefault="003B580C" w:rsidP="003B580C">
      <w:pPr>
        <w:ind w:left="995" w:hanging="425"/>
        <w:rPr>
          <w:rFonts w:ascii="Arial" w:hAnsi="Arial" w:cs="Arial"/>
        </w:rPr>
      </w:pPr>
      <w:r w:rsidRPr="00BB79FA">
        <w:rPr>
          <w:rFonts w:ascii="Arial" w:hAnsi="Arial" w:cs="Arial"/>
        </w:rPr>
        <w:t>(1)</w:t>
      </w:r>
      <w:r w:rsidRPr="00BB79FA">
        <w:rPr>
          <w:rFonts w:ascii="Arial" w:hAnsi="Arial" w:cs="Arial"/>
        </w:rPr>
        <w:tab/>
        <w:t>one of the following criteria is met:</w:t>
      </w:r>
    </w:p>
    <w:p w14:paraId="00BF8EB3" w14:textId="77777777" w:rsidR="003B580C" w:rsidRPr="00BB79FA" w:rsidRDefault="003B580C" w:rsidP="003B580C">
      <w:pPr>
        <w:ind w:left="1418" w:hanging="425"/>
        <w:rPr>
          <w:rFonts w:ascii="Arial" w:hAnsi="Arial" w:cs="Arial"/>
        </w:rPr>
      </w:pPr>
      <w:r w:rsidRPr="00BB79FA">
        <w:rPr>
          <w:rFonts w:ascii="Arial" w:hAnsi="Arial" w:cs="Arial"/>
        </w:rPr>
        <w:t>(a)</w:t>
      </w:r>
      <w:r w:rsidRPr="00BB79FA">
        <w:rPr>
          <w:rFonts w:ascii="Arial" w:hAnsi="Arial" w:cs="Arial"/>
        </w:rPr>
        <w:tab/>
        <w:t>the revenues are availability-based;</w:t>
      </w:r>
    </w:p>
    <w:p w14:paraId="4FD22C16" w14:textId="77777777" w:rsidR="003B580C" w:rsidRPr="00BB79FA" w:rsidRDefault="003B580C" w:rsidP="003B580C">
      <w:pPr>
        <w:ind w:left="1418" w:hanging="425"/>
        <w:rPr>
          <w:rFonts w:ascii="Arial" w:hAnsi="Arial" w:cs="Arial"/>
        </w:rPr>
      </w:pPr>
      <w:r w:rsidRPr="00BB79FA">
        <w:rPr>
          <w:rFonts w:ascii="Arial" w:hAnsi="Arial" w:cs="Arial"/>
        </w:rPr>
        <w:t>(b)</w:t>
      </w:r>
      <w:r w:rsidRPr="00BB79FA">
        <w:rPr>
          <w:rFonts w:ascii="Arial" w:hAnsi="Arial" w:cs="Arial"/>
        </w:rPr>
        <w:tab/>
        <w:t>the revenues are subject to a rate-of-return regulation;</w:t>
      </w:r>
    </w:p>
    <w:p w14:paraId="4CF237A3" w14:textId="77777777" w:rsidR="003B580C" w:rsidRPr="00BB79FA" w:rsidRDefault="003B580C" w:rsidP="003B580C">
      <w:pPr>
        <w:ind w:left="1418" w:hanging="425"/>
        <w:rPr>
          <w:rFonts w:ascii="Arial" w:hAnsi="Arial" w:cs="Arial"/>
        </w:rPr>
      </w:pPr>
      <w:r w:rsidRPr="00BB79FA">
        <w:rPr>
          <w:rFonts w:ascii="Arial" w:hAnsi="Arial" w:cs="Arial"/>
        </w:rPr>
        <w:t xml:space="preserve">(c) </w:t>
      </w:r>
      <w:r w:rsidRPr="00BB79FA">
        <w:rPr>
          <w:rFonts w:ascii="Arial" w:hAnsi="Arial" w:cs="Arial"/>
        </w:rPr>
        <w:tab/>
        <w:t xml:space="preserve">the revenues are subject to a take-or-pay contract; </w:t>
      </w:r>
    </w:p>
    <w:p w14:paraId="034D3FE3" w14:textId="77777777" w:rsidR="003B580C" w:rsidRPr="00BB79FA" w:rsidRDefault="003B580C" w:rsidP="003B580C">
      <w:pPr>
        <w:ind w:left="1418" w:hanging="425"/>
        <w:rPr>
          <w:rFonts w:ascii="Arial" w:hAnsi="Arial" w:cs="Arial"/>
        </w:rPr>
      </w:pPr>
      <w:r w:rsidRPr="00BB79FA">
        <w:rPr>
          <w:rFonts w:ascii="Arial" w:hAnsi="Arial" w:cs="Arial"/>
        </w:rPr>
        <w:t>(d)</w:t>
      </w:r>
      <w:r w:rsidRPr="00BB79FA">
        <w:rPr>
          <w:rFonts w:ascii="Arial" w:hAnsi="Arial" w:cs="Arial"/>
        </w:rPr>
        <w:tab/>
        <w:t>the level of output or the usage and the price shall independently meet one of the following criteria:</w:t>
      </w:r>
    </w:p>
    <w:p w14:paraId="45988882" w14:textId="77777777" w:rsidR="003B580C" w:rsidRPr="00BB79FA" w:rsidRDefault="003B580C" w:rsidP="003B580C">
      <w:pPr>
        <w:ind w:left="2160" w:hanging="720"/>
        <w:rPr>
          <w:rFonts w:ascii="Arial" w:hAnsi="Arial" w:cs="Arial"/>
        </w:rPr>
      </w:pPr>
      <w:r w:rsidRPr="00BB79FA">
        <w:rPr>
          <w:rFonts w:ascii="Arial" w:hAnsi="Arial" w:cs="Arial"/>
        </w:rPr>
        <w:lastRenderedPageBreak/>
        <w:t>(i)</w:t>
      </w:r>
      <w:r w:rsidRPr="00BB79FA">
        <w:rPr>
          <w:rFonts w:ascii="Arial" w:hAnsi="Arial" w:cs="Arial"/>
        </w:rPr>
        <w:tab/>
        <w:t>it is regulated;</w:t>
      </w:r>
    </w:p>
    <w:p w14:paraId="07B9C10B" w14:textId="77777777" w:rsidR="003B580C" w:rsidRPr="00BB79FA" w:rsidRDefault="003B580C" w:rsidP="003B580C">
      <w:pPr>
        <w:ind w:left="2160" w:hanging="720"/>
        <w:rPr>
          <w:rFonts w:ascii="Arial" w:hAnsi="Arial" w:cs="Arial"/>
        </w:rPr>
      </w:pPr>
      <w:r w:rsidRPr="00BB79FA">
        <w:rPr>
          <w:rFonts w:ascii="Arial" w:hAnsi="Arial" w:cs="Arial"/>
        </w:rPr>
        <w:t>(ii)</w:t>
      </w:r>
      <w:r w:rsidRPr="00BB79FA">
        <w:rPr>
          <w:rFonts w:ascii="Arial" w:hAnsi="Arial" w:cs="Arial"/>
        </w:rPr>
        <w:tab/>
        <w:t>it is contractually fixed; or</w:t>
      </w:r>
    </w:p>
    <w:p w14:paraId="7C2F76FE" w14:textId="77777777" w:rsidR="003B580C" w:rsidRPr="00BB79FA" w:rsidRDefault="003B580C" w:rsidP="003B580C">
      <w:pPr>
        <w:ind w:left="2160" w:hanging="720"/>
        <w:rPr>
          <w:rFonts w:ascii="Arial" w:hAnsi="Arial" w:cs="Arial"/>
        </w:rPr>
      </w:pPr>
      <w:r w:rsidRPr="00BB79FA">
        <w:rPr>
          <w:rFonts w:ascii="Arial" w:hAnsi="Arial" w:cs="Arial"/>
        </w:rPr>
        <w:t xml:space="preserve">(iii) </w:t>
      </w:r>
      <w:r w:rsidRPr="00BB79FA">
        <w:rPr>
          <w:rFonts w:ascii="Arial" w:hAnsi="Arial" w:cs="Arial"/>
        </w:rPr>
        <w:tab/>
        <w:t>it is sufficiently predictable as a result of low demand risk;</w:t>
      </w:r>
    </w:p>
    <w:p w14:paraId="43F4F0B9" w14:textId="77777777" w:rsidR="003B580C" w:rsidRPr="00BB79FA" w:rsidRDefault="003B580C" w:rsidP="003B580C">
      <w:pPr>
        <w:ind w:left="995" w:hanging="425"/>
        <w:rPr>
          <w:rFonts w:ascii="Arial" w:hAnsi="Arial" w:cs="Arial"/>
        </w:rPr>
      </w:pPr>
      <w:r w:rsidRPr="00BB79FA">
        <w:rPr>
          <w:rFonts w:ascii="Arial" w:hAnsi="Arial" w:cs="Arial"/>
        </w:rPr>
        <w:t>(2)</w:t>
      </w:r>
      <w:r w:rsidRPr="00BB79FA">
        <w:rPr>
          <w:rFonts w:ascii="Arial" w:hAnsi="Arial" w:cs="Arial"/>
        </w:rPr>
        <w:tab/>
        <w:t>where the revenues of the obligor are not funded by payments from a large number of users, the party which agrees to purchase the goods or services provided by the obligor shall be one of the following:</w:t>
      </w:r>
    </w:p>
    <w:p w14:paraId="26C3CC30" w14:textId="18DA4721" w:rsidR="003B580C" w:rsidRPr="00BB79FA" w:rsidRDefault="003B580C" w:rsidP="003B580C">
      <w:pPr>
        <w:ind w:left="1418" w:hanging="425"/>
        <w:rPr>
          <w:rFonts w:ascii="Arial" w:hAnsi="Arial" w:cs="Arial"/>
        </w:rPr>
      </w:pPr>
      <w:r w:rsidRPr="00BB79FA">
        <w:rPr>
          <w:rFonts w:ascii="Arial" w:hAnsi="Arial" w:cs="Arial"/>
        </w:rPr>
        <w:t xml:space="preserve">(a) </w:t>
      </w:r>
      <w:r w:rsidRPr="00BB79FA">
        <w:rPr>
          <w:rFonts w:ascii="Arial" w:hAnsi="Arial" w:cs="Arial"/>
        </w:rPr>
        <w:tab/>
        <w:t xml:space="preserve">a central bank, a central government, a regional government or a local authority, provided that it is assigned a risk weight of 0% in accordance with Credit Risk: Standardised Approach (CRR) Part Articles 114 and 115, Article 114(7) of </w:t>
      </w:r>
      <w:r w:rsidRPr="00BB79FA">
        <w:rPr>
          <w:rFonts w:ascii="Arial" w:hAnsi="Arial" w:cs="Arial"/>
          <w:i/>
          <w:iCs/>
        </w:rPr>
        <w:t>CRR</w:t>
      </w:r>
      <w:r w:rsidRPr="00BB79FA">
        <w:rPr>
          <w:rFonts w:ascii="Arial" w:hAnsi="Arial" w:cs="Arial"/>
        </w:rPr>
        <w:t xml:space="preserve">, Article 115(4) of </w:t>
      </w:r>
      <w:r w:rsidRPr="00BB79FA">
        <w:rPr>
          <w:rFonts w:ascii="Arial" w:hAnsi="Arial" w:cs="Arial"/>
          <w:i/>
          <w:iCs/>
        </w:rPr>
        <w:t>CRR</w:t>
      </w:r>
      <w:r w:rsidRPr="00BB79FA">
        <w:rPr>
          <w:rFonts w:ascii="Arial" w:hAnsi="Arial" w:cs="Arial"/>
        </w:rPr>
        <w:t xml:space="preserve"> or has a credit assessment which corresponds to a credit quality step of at least 3 </w:t>
      </w:r>
      <w:r w:rsidR="00454405">
        <w:rPr>
          <w:rFonts w:ascii="Arial" w:hAnsi="Arial" w:cs="Arial"/>
        </w:rPr>
        <w:t>in accordance with the Credit Risk: Standardised Approach (CRR) Part</w:t>
      </w:r>
      <w:r w:rsidRPr="00BB79FA">
        <w:rPr>
          <w:rFonts w:ascii="Arial" w:hAnsi="Arial" w:cs="Arial"/>
        </w:rPr>
        <w:t>;</w:t>
      </w:r>
    </w:p>
    <w:p w14:paraId="407D2541" w14:textId="70600DDF" w:rsidR="003B580C" w:rsidRPr="00BB79FA" w:rsidRDefault="003B580C" w:rsidP="003B580C">
      <w:pPr>
        <w:ind w:left="1418" w:hanging="425"/>
        <w:rPr>
          <w:rFonts w:ascii="Arial" w:hAnsi="Arial" w:cs="Arial"/>
        </w:rPr>
      </w:pPr>
      <w:r w:rsidRPr="00BB79FA">
        <w:rPr>
          <w:rFonts w:ascii="Arial" w:hAnsi="Arial" w:cs="Arial"/>
        </w:rPr>
        <w:t>(b)</w:t>
      </w:r>
      <w:r w:rsidRPr="00BB79FA">
        <w:rPr>
          <w:rFonts w:ascii="Arial" w:hAnsi="Arial" w:cs="Arial"/>
        </w:rPr>
        <w:tab/>
        <w:t xml:space="preserve">a public sector entity, provided that it is assigned a risk weight of 20% or below in accordance with Credit Risk: Standardised Approach (CRR) Part Article 116, Article 116(5) of </w:t>
      </w:r>
      <w:r w:rsidRPr="00BB79FA">
        <w:rPr>
          <w:rFonts w:ascii="Arial" w:hAnsi="Arial" w:cs="Arial"/>
          <w:i/>
          <w:iCs/>
        </w:rPr>
        <w:t>CRR</w:t>
      </w:r>
      <w:r w:rsidRPr="00BB79FA">
        <w:rPr>
          <w:rFonts w:ascii="Arial" w:hAnsi="Arial" w:cs="Arial"/>
        </w:rPr>
        <w:t xml:space="preserve"> or has a credit assessment which corresponds to a credit quality step of at least 3 </w:t>
      </w:r>
      <w:r w:rsidR="00454405">
        <w:rPr>
          <w:rFonts w:ascii="Arial" w:hAnsi="Arial" w:cs="Arial"/>
        </w:rPr>
        <w:t>in accordance with the Credit Risk: Standardised Approach (CRR) Part</w:t>
      </w:r>
      <w:r w:rsidRPr="00BB79FA">
        <w:rPr>
          <w:rFonts w:ascii="Arial" w:hAnsi="Arial" w:cs="Arial"/>
        </w:rPr>
        <w:t>;</w:t>
      </w:r>
    </w:p>
    <w:p w14:paraId="1C0B03F6" w14:textId="77777777" w:rsidR="003B580C" w:rsidRPr="00BB79FA" w:rsidRDefault="003B580C" w:rsidP="003B580C">
      <w:pPr>
        <w:ind w:left="1418" w:hanging="425"/>
        <w:rPr>
          <w:rFonts w:ascii="Arial" w:hAnsi="Arial" w:cs="Arial"/>
        </w:rPr>
      </w:pPr>
      <w:r w:rsidRPr="00BB79FA">
        <w:rPr>
          <w:rFonts w:ascii="Arial" w:hAnsi="Arial" w:cs="Arial"/>
        </w:rPr>
        <w:t xml:space="preserve">(c) </w:t>
      </w:r>
      <w:r w:rsidRPr="00BB79FA">
        <w:rPr>
          <w:rFonts w:ascii="Arial" w:hAnsi="Arial" w:cs="Arial"/>
        </w:rPr>
        <w:tab/>
        <w:t xml:space="preserve">a </w:t>
      </w:r>
      <w:r w:rsidRPr="00BB79FA">
        <w:rPr>
          <w:rFonts w:ascii="Arial" w:hAnsi="Arial" w:cs="Arial"/>
          <w:i/>
          <w:iCs/>
        </w:rPr>
        <w:t>multilateral development bank</w:t>
      </w:r>
      <w:r w:rsidRPr="00BB79FA">
        <w:rPr>
          <w:rFonts w:ascii="Arial" w:hAnsi="Arial" w:cs="Arial"/>
        </w:rPr>
        <w:t xml:space="preserve"> referred to in </w:t>
      </w:r>
      <w:r w:rsidRPr="00BB79FA">
        <w:rPr>
          <w:rFonts w:ascii="Arial" w:hAnsi="Arial" w:cs="Arial"/>
          <w:lang w:eastAsia="en-GB"/>
        </w:rPr>
        <w:t xml:space="preserve">paragraph 2 of </w:t>
      </w:r>
      <w:r w:rsidRPr="00BB79FA">
        <w:rPr>
          <w:rFonts w:ascii="Arial" w:hAnsi="Arial" w:cs="Arial"/>
        </w:rPr>
        <w:t>Credit Risk: Standardised Approach (CRR) Part Article 117;</w:t>
      </w:r>
    </w:p>
    <w:p w14:paraId="6DA3A392" w14:textId="77777777" w:rsidR="003B580C" w:rsidRPr="00BB79FA" w:rsidRDefault="003B580C" w:rsidP="003B580C">
      <w:pPr>
        <w:ind w:left="1418" w:hanging="425"/>
        <w:rPr>
          <w:rFonts w:ascii="Arial" w:hAnsi="Arial" w:cs="Arial"/>
        </w:rPr>
      </w:pPr>
      <w:r w:rsidRPr="00BB79FA">
        <w:rPr>
          <w:rFonts w:ascii="Arial" w:hAnsi="Arial" w:cs="Arial"/>
        </w:rPr>
        <w:t xml:space="preserve">(d) </w:t>
      </w:r>
      <w:r w:rsidRPr="00BB79FA">
        <w:rPr>
          <w:rFonts w:ascii="Arial" w:hAnsi="Arial" w:cs="Arial"/>
        </w:rPr>
        <w:tab/>
        <w:t xml:space="preserve">an international organisation referred to in </w:t>
      </w:r>
      <w:r w:rsidRPr="00BB79FA">
        <w:rPr>
          <w:rFonts w:ascii="Arial" w:hAnsi="Arial" w:cs="Arial"/>
          <w:lang w:eastAsia="en-GB"/>
        </w:rPr>
        <w:t xml:space="preserve">paragraph 1 of </w:t>
      </w:r>
      <w:r w:rsidRPr="00BB79FA">
        <w:rPr>
          <w:rFonts w:ascii="Arial" w:hAnsi="Arial" w:cs="Arial"/>
        </w:rPr>
        <w:t>Credit Risk: Standardised Approach (CRR) Part Article 118;</w:t>
      </w:r>
    </w:p>
    <w:p w14:paraId="39C70283" w14:textId="3475BF25" w:rsidR="003B580C" w:rsidRPr="00BB79FA" w:rsidRDefault="003B580C" w:rsidP="003B580C">
      <w:pPr>
        <w:ind w:left="1418" w:hanging="425"/>
        <w:rPr>
          <w:rFonts w:ascii="Arial" w:hAnsi="Arial" w:cs="Arial"/>
        </w:rPr>
      </w:pPr>
      <w:r w:rsidRPr="00BB79FA">
        <w:rPr>
          <w:rFonts w:ascii="Arial" w:hAnsi="Arial" w:cs="Arial"/>
        </w:rPr>
        <w:t xml:space="preserve">(e) </w:t>
      </w:r>
      <w:r w:rsidRPr="00BB79FA">
        <w:rPr>
          <w:rFonts w:ascii="Arial" w:hAnsi="Arial" w:cs="Arial"/>
        </w:rPr>
        <w:tab/>
        <w:t xml:space="preserve">a corporate entity which has a credit assessment which corresponds to a credit quality step of at least 3 as mapped </w:t>
      </w:r>
      <w:r w:rsidR="00454405">
        <w:rPr>
          <w:rFonts w:ascii="Arial" w:hAnsi="Arial" w:cs="Arial"/>
        </w:rPr>
        <w:t>in accordance with the Credit Risk: Standardised Approach (CRR) Part</w:t>
      </w:r>
      <w:r w:rsidRPr="00BB79FA">
        <w:rPr>
          <w:rFonts w:ascii="Arial" w:hAnsi="Arial" w:cs="Arial"/>
        </w:rPr>
        <w:t>;</w:t>
      </w:r>
    </w:p>
    <w:p w14:paraId="22B839C7" w14:textId="77777777" w:rsidR="003B580C" w:rsidRPr="00BB79FA" w:rsidRDefault="003B580C" w:rsidP="003B580C">
      <w:pPr>
        <w:ind w:left="1418" w:hanging="425"/>
        <w:rPr>
          <w:rFonts w:ascii="Arial" w:hAnsi="Arial" w:cs="Arial"/>
        </w:rPr>
      </w:pPr>
      <w:r w:rsidRPr="00BB79FA">
        <w:rPr>
          <w:rFonts w:ascii="Arial" w:hAnsi="Arial" w:cs="Arial"/>
        </w:rPr>
        <w:t xml:space="preserve">(f) </w:t>
      </w:r>
      <w:r w:rsidRPr="00BB79FA">
        <w:rPr>
          <w:rFonts w:ascii="Arial" w:hAnsi="Arial" w:cs="Arial"/>
        </w:rPr>
        <w:tab/>
        <w:t>an entity that is replaceable without a significant change in the level and timing of revenues.</w:t>
      </w:r>
    </w:p>
    <w:p w14:paraId="6E829D59" w14:textId="7208D325" w:rsidR="0085668D" w:rsidRPr="00BB79FA" w:rsidRDefault="008C025D" w:rsidP="00A23969">
      <w:pPr>
        <w:pStyle w:val="Heading2"/>
        <w:numPr>
          <w:ilvl w:val="1"/>
          <w:numId w:val="43"/>
        </w:numPr>
        <w:ind w:left="567" w:hanging="567"/>
      </w:pPr>
      <w:r w:rsidRPr="00BB79FA">
        <w:t xml:space="preserve">The </w:t>
      </w:r>
      <w:r w:rsidR="00D7006D">
        <w:t>I</w:t>
      </w:r>
      <w:r w:rsidRPr="00BB79FA">
        <w:t xml:space="preserve">nfrastructure </w:t>
      </w:r>
      <w:r w:rsidR="00D7006D">
        <w:t>F</w:t>
      </w:r>
      <w:r w:rsidRPr="00BB79FA">
        <w:t xml:space="preserve">actor shall be 0.75. </w:t>
      </w:r>
    </w:p>
    <w:p w14:paraId="4A8981E0" w14:textId="2234D15F" w:rsidR="00403F14" w:rsidRPr="00BB79FA" w:rsidRDefault="000135CA" w:rsidP="006D2025">
      <w:pPr>
        <w:rPr>
          <w:rFonts w:ascii="Arial" w:hAnsi="Arial" w:cs="Arial"/>
          <w:b/>
          <w:bCs/>
        </w:rPr>
      </w:pPr>
      <w:r w:rsidRPr="00BB79FA">
        <w:rPr>
          <w:rFonts w:ascii="Arial" w:hAnsi="Arial" w:cs="Arial"/>
          <w:b/>
          <w:bCs/>
        </w:rPr>
        <w:t>General instructions</w:t>
      </w:r>
    </w:p>
    <w:p w14:paraId="1AEE8680" w14:textId="5CAE78E0" w:rsidR="00AA7ABC" w:rsidRPr="0085224C" w:rsidRDefault="00AA7ABC" w:rsidP="00AA7ABC">
      <w:pPr>
        <w:pStyle w:val="Heading2"/>
        <w:numPr>
          <w:ilvl w:val="1"/>
          <w:numId w:val="43"/>
        </w:numPr>
        <w:ind w:left="567" w:hanging="567"/>
      </w:pPr>
      <w:r>
        <w:t xml:space="preserve">SDDTs </w:t>
      </w:r>
      <w:r w:rsidRPr="0085224C">
        <w:t>which are seeking to qualify for the SME lending adjustment and/or the infrastructure lending adjustment sh</w:t>
      </w:r>
      <w:r>
        <w:t>all</w:t>
      </w:r>
      <w:r w:rsidRPr="0085224C">
        <w:t xml:space="preserve"> not delete any of the worksheets in their submission and submit Submission A, B and C with the meta data completed, irrespective of whether the Submissions are completed.</w:t>
      </w:r>
    </w:p>
    <w:p w14:paraId="23CB86CB" w14:textId="3BF9D56B" w:rsidR="00AA7ABC" w:rsidRDefault="00AA7ABC" w:rsidP="00AA7ABC">
      <w:pPr>
        <w:pStyle w:val="Heading2"/>
        <w:numPr>
          <w:ilvl w:val="1"/>
          <w:numId w:val="43"/>
        </w:numPr>
        <w:ind w:left="567" w:hanging="567"/>
      </w:pPr>
      <w:r>
        <w:t xml:space="preserve">SDDTs shall </w:t>
      </w:r>
      <w:r w:rsidRPr="0085224C">
        <w:t xml:space="preserve">not change the structure or cell references of any field. </w:t>
      </w:r>
      <w:r>
        <w:t xml:space="preserve">SDDTs shall </w:t>
      </w:r>
      <w:r w:rsidRPr="0085224C">
        <w:t>submit the returns in xlsx file format without password encryption and a single return (Submission A, B and C) per e-mail. For example, if a</w:t>
      </w:r>
      <w:r>
        <w:t xml:space="preserve"> SDDT</w:t>
      </w:r>
      <w:r w:rsidRPr="0085224C">
        <w:t xml:space="preserve"> needs to submit returns </w:t>
      </w:r>
      <w:r w:rsidRPr="0085224C">
        <w:lastRenderedPageBreak/>
        <w:t>on both an Unconsolidated and a UK consolidation group basis, it should submit one return per email.</w:t>
      </w:r>
    </w:p>
    <w:p w14:paraId="4D74FB56" w14:textId="5A810C8E" w:rsidR="00403F14" w:rsidRPr="00BB79FA" w:rsidRDefault="00095537" w:rsidP="0074310F">
      <w:pPr>
        <w:pStyle w:val="Heading2"/>
        <w:numPr>
          <w:ilvl w:val="1"/>
          <w:numId w:val="43"/>
        </w:numPr>
        <w:ind w:left="567" w:hanging="567"/>
      </w:pPr>
      <w:r>
        <w:t>SDDTs</w:t>
      </w:r>
      <w:r w:rsidRPr="00BB79FA">
        <w:t xml:space="preserve"> </w:t>
      </w:r>
      <w:r w:rsidR="00403F14" w:rsidRPr="00BB79FA">
        <w:t>should respond to this data collection on an individual, sub-consolidated or consolidated basis in accordance with ‘Reporting Pillar 2’ Part</w:t>
      </w:r>
      <w:r w:rsidR="0074310F" w:rsidRPr="00BB79FA">
        <w:t xml:space="preserve"> </w:t>
      </w:r>
      <w:r w:rsidR="00403F14" w:rsidRPr="00BB79FA">
        <w:t xml:space="preserve">1.1-1.5A. </w:t>
      </w:r>
      <w:r>
        <w:t>SDDTs</w:t>
      </w:r>
      <w:r w:rsidRPr="00BB79FA">
        <w:t xml:space="preserve"> </w:t>
      </w:r>
      <w:r w:rsidR="00403F14" w:rsidRPr="00BB79FA">
        <w:t>should submit a separate data template for each level of consolidation i.e. on each basis on which a firm has a capital requirement. This includes cases where data at different levels of consolidation may be identical.</w:t>
      </w:r>
    </w:p>
    <w:p w14:paraId="32878109" w14:textId="4A3BDC7C" w:rsidR="00400477" w:rsidRPr="00BB79FA" w:rsidRDefault="00467ABF" w:rsidP="00D47070">
      <w:pPr>
        <w:pStyle w:val="Heading2"/>
        <w:numPr>
          <w:ilvl w:val="1"/>
          <w:numId w:val="43"/>
        </w:numPr>
        <w:ind w:left="567" w:hanging="567"/>
        <w:rPr>
          <w:b/>
        </w:rPr>
      </w:pPr>
      <w:r>
        <w:rPr>
          <w:bCs/>
        </w:rPr>
        <w:t>SDDTs</w:t>
      </w:r>
      <w:r w:rsidRPr="00BB79FA">
        <w:rPr>
          <w:bCs/>
        </w:rPr>
        <w:t xml:space="preserve"> </w:t>
      </w:r>
      <w:r w:rsidR="00400477" w:rsidRPr="00BB79FA">
        <w:rPr>
          <w:bCs/>
        </w:rPr>
        <w:t>shall report the risk-weighted exposure amount (RWEA) for an exposure</w:t>
      </w:r>
      <w:r w:rsidR="002F1048" w:rsidRPr="00BB79FA">
        <w:rPr>
          <w:bCs/>
        </w:rPr>
        <w:t xml:space="preserve">, </w:t>
      </w:r>
      <w:r w:rsidR="00E505B1">
        <w:rPr>
          <w:bCs/>
        </w:rPr>
        <w:t xml:space="preserve">calculated </w:t>
      </w:r>
      <w:r w:rsidR="002F1048" w:rsidRPr="00BB79FA">
        <w:rPr>
          <w:bCs/>
        </w:rPr>
        <w:t>in accordance</w:t>
      </w:r>
      <w:r w:rsidR="006D2025" w:rsidRPr="00BB79FA">
        <w:rPr>
          <w:bCs/>
        </w:rPr>
        <w:t xml:space="preserve"> with the </w:t>
      </w:r>
      <w:r w:rsidR="00BB79FA">
        <w:rPr>
          <w:bCs/>
        </w:rPr>
        <w:t>PRA Rulebook</w:t>
      </w:r>
      <w:r w:rsidR="002F1048" w:rsidRPr="00BB79FA">
        <w:rPr>
          <w:bCs/>
        </w:rPr>
        <w:t>.</w:t>
      </w:r>
      <w:r w:rsidR="00D47070" w:rsidRPr="00BB79FA">
        <w:rPr>
          <w:bCs/>
        </w:rPr>
        <w:t xml:space="preserve"> </w:t>
      </w:r>
      <w:r w:rsidR="00D72BC3" w:rsidRPr="00BB79FA">
        <w:rPr>
          <w:bCs/>
        </w:rPr>
        <w:t>T</w:t>
      </w:r>
      <w:r w:rsidR="00A510EE" w:rsidRPr="00BB79FA">
        <w:rPr>
          <w:bCs/>
        </w:rPr>
        <w:t>he RWEA for an exposure</w:t>
      </w:r>
      <w:r w:rsidR="00D47070" w:rsidRPr="00BB79FA">
        <w:rPr>
          <w:bCs/>
        </w:rPr>
        <w:t xml:space="preserve"> </w:t>
      </w:r>
      <w:r w:rsidR="00D72BC3" w:rsidRPr="00BB79FA">
        <w:rPr>
          <w:bCs/>
        </w:rPr>
        <w:t xml:space="preserve">shall be reported </w:t>
      </w:r>
      <w:r w:rsidR="00F44658" w:rsidRPr="00BB79FA">
        <w:rPr>
          <w:bCs/>
        </w:rPr>
        <w:t xml:space="preserve">in the row for </w:t>
      </w:r>
      <w:r w:rsidR="00D72BC3" w:rsidRPr="00BB79FA">
        <w:rPr>
          <w:bCs/>
        </w:rPr>
        <w:t>the risk weight which</w:t>
      </w:r>
      <w:r w:rsidR="006B0E40" w:rsidRPr="00BB79FA">
        <w:rPr>
          <w:bCs/>
        </w:rPr>
        <w:t xml:space="preserve"> would</w:t>
      </w:r>
      <w:r w:rsidR="00A476E2" w:rsidRPr="00BB79FA">
        <w:rPr>
          <w:bCs/>
        </w:rPr>
        <w:t xml:space="preserve"> appl</w:t>
      </w:r>
      <w:r w:rsidR="006B0E40" w:rsidRPr="00BB79FA">
        <w:rPr>
          <w:bCs/>
        </w:rPr>
        <w:t>y</w:t>
      </w:r>
      <w:r w:rsidR="00654554" w:rsidRPr="00BB79FA">
        <w:rPr>
          <w:bCs/>
        </w:rPr>
        <w:t xml:space="preserve"> </w:t>
      </w:r>
      <w:r w:rsidR="006B0E40" w:rsidRPr="00BB79FA">
        <w:rPr>
          <w:bCs/>
        </w:rPr>
        <w:t>if</w:t>
      </w:r>
      <w:r w:rsidR="006A6C1F" w:rsidRPr="00BB79FA">
        <w:rPr>
          <w:bCs/>
        </w:rPr>
        <w:t xml:space="preserve"> the effect of any recognised</w:t>
      </w:r>
      <w:r w:rsidR="006B0E40" w:rsidRPr="00BB79FA">
        <w:rPr>
          <w:bCs/>
        </w:rPr>
        <w:t xml:space="preserve"> </w:t>
      </w:r>
      <w:r w:rsidR="00E706D1" w:rsidRPr="00BB79FA">
        <w:rPr>
          <w:bCs/>
        </w:rPr>
        <w:t>credit</w:t>
      </w:r>
      <w:r w:rsidR="006B0E40" w:rsidRPr="00BB79FA">
        <w:rPr>
          <w:bCs/>
        </w:rPr>
        <w:t xml:space="preserve"> risk mitigation</w:t>
      </w:r>
      <w:r w:rsidR="008062C4" w:rsidRPr="00BB79FA">
        <w:rPr>
          <w:bCs/>
        </w:rPr>
        <w:t xml:space="preserve"> </w:t>
      </w:r>
      <w:r w:rsidR="006A6C1F" w:rsidRPr="00BB79FA">
        <w:rPr>
          <w:bCs/>
        </w:rPr>
        <w:t>was not accounted for</w:t>
      </w:r>
      <w:r w:rsidR="00A476E2" w:rsidRPr="00BB79FA">
        <w:rPr>
          <w:bCs/>
        </w:rPr>
        <w:t>.</w:t>
      </w:r>
    </w:p>
    <w:p w14:paraId="368FB1CD" w14:textId="50F1C113" w:rsidR="00E07274" w:rsidRPr="00BB79FA" w:rsidRDefault="001E7CAA" w:rsidP="00A23969">
      <w:pPr>
        <w:pStyle w:val="Heading2"/>
        <w:numPr>
          <w:ilvl w:val="1"/>
          <w:numId w:val="43"/>
        </w:numPr>
        <w:ind w:left="567" w:hanging="567"/>
        <w:rPr>
          <w:b/>
        </w:rPr>
      </w:pPr>
      <w:r w:rsidRPr="00BB79FA">
        <w:t>Exposures subject to the currency mismatch multiplier (Article 123B of the Credit Risk: Standardised Approach (CRR) Part) shall be reported against the risk weight which would have applied if the currency mismatch multiplier was not applied. However, the RWEA shall still reflect the currency mismatch multiplier.</w:t>
      </w:r>
      <w:r w:rsidR="00F64A04" w:rsidRPr="00BB79FA">
        <w:t xml:space="preserve"> Second charge mortgages</w:t>
      </w:r>
      <w:r w:rsidR="00256B22">
        <w:t xml:space="preserve"> which are materially dependent on the cash-flows generated by the property</w:t>
      </w:r>
      <w:r w:rsidR="00F64A04" w:rsidRPr="00BB79FA">
        <w:t xml:space="preserve"> should be reported in the row for the risk weight that would apply if the exposure was not a second charge</w:t>
      </w:r>
      <w:r w:rsidR="0077555D" w:rsidRPr="00BB79FA">
        <w:t xml:space="preserve">, but with the </w:t>
      </w:r>
      <w:r w:rsidR="00F64A04" w:rsidRPr="00BB79FA">
        <w:t>RWEA reported as the amount including the second charge factor.</w:t>
      </w:r>
      <w:r w:rsidR="006341F6" w:rsidRPr="00BB79FA">
        <w:t xml:space="preserve"> Regulatory real estate exposures which are not materially dependent on the cash</w:t>
      </w:r>
      <w:r w:rsidR="00256B22">
        <w:t>-</w:t>
      </w:r>
      <w:r w:rsidR="006341F6" w:rsidRPr="00BB79FA">
        <w:t xml:space="preserve">flows generated by the property (Articles 124F and 124H of the Credit Risk: Standardised Approach (CRR) Part) shall be reported in two parts, against the risk weight applied to the portion up to 55% of the value of the property, and against the </w:t>
      </w:r>
      <w:r w:rsidR="00E505B1">
        <w:t xml:space="preserve">risk weight applied to the </w:t>
      </w:r>
      <w:r w:rsidR="006341F6" w:rsidRPr="00BB79FA">
        <w:t>portion above 55% of the value of the property (if applicable).</w:t>
      </w:r>
      <w:r w:rsidR="00F64A04" w:rsidRPr="00BB79FA">
        <w:t xml:space="preserve"> </w:t>
      </w:r>
    </w:p>
    <w:p w14:paraId="361820B1" w14:textId="77777777" w:rsidR="00617498" w:rsidRPr="00BB79FA" w:rsidRDefault="00617498" w:rsidP="0073503F">
      <w:pPr>
        <w:pStyle w:val="Heading2"/>
        <w:rPr>
          <w:b/>
          <w:bCs/>
          <w:u w:val="single"/>
        </w:rPr>
        <w:sectPr w:rsidR="00617498" w:rsidRPr="00BB79FA" w:rsidSect="00AF2E22">
          <w:headerReference w:type="default" r:id="rId7"/>
          <w:footerReference w:type="default" r:id="rId8"/>
          <w:headerReference w:type="first" r:id="rId9"/>
          <w:pgSz w:w="11906" w:h="16838"/>
          <w:pgMar w:top="1440" w:right="1440" w:bottom="1440" w:left="1440" w:header="708" w:footer="708" w:gutter="0"/>
          <w:cols w:space="708"/>
          <w:titlePg/>
          <w:docGrid w:linePitch="360"/>
        </w:sectPr>
      </w:pPr>
      <w:bookmarkStart w:id="4" w:name="_Toc169099824"/>
    </w:p>
    <w:p w14:paraId="7E26D64F" w14:textId="58D70C3D" w:rsidR="00471763" w:rsidRPr="00BB79FA" w:rsidRDefault="00471763" w:rsidP="00471763">
      <w:pPr>
        <w:pStyle w:val="Heading2"/>
        <w:rPr>
          <w:b/>
          <w:bCs/>
          <w:u w:val="single"/>
        </w:rPr>
      </w:pPr>
      <w:r w:rsidRPr="00BB79FA">
        <w:rPr>
          <w:b/>
          <w:bCs/>
          <w:u w:val="single"/>
        </w:rPr>
        <w:lastRenderedPageBreak/>
        <w:t>PART II: TEMPLATE RELATED INSTRUCTIONS – GENERAL INFORMATION</w:t>
      </w:r>
    </w:p>
    <w:tbl>
      <w:tblPr>
        <w:tblW w:w="8364" w:type="dxa"/>
        <w:tblInd w:w="562" w:type="dxa"/>
        <w:tblLook w:val="04A0" w:firstRow="1" w:lastRow="0" w:firstColumn="1" w:lastColumn="0" w:noHBand="0" w:noVBand="1"/>
      </w:tblPr>
      <w:tblGrid>
        <w:gridCol w:w="709"/>
        <w:gridCol w:w="7655"/>
      </w:tblGrid>
      <w:tr w:rsidR="00CB640D" w:rsidRPr="00BB79FA" w14:paraId="103D63EB" w14:textId="77777777" w:rsidTr="001A2D6B">
        <w:trPr>
          <w:trHeight w:val="1008"/>
        </w:trPr>
        <w:tc>
          <w:tcPr>
            <w:tcW w:w="709" w:type="dxa"/>
            <w:tcBorders>
              <w:top w:val="single" w:sz="4" w:space="0" w:color="auto"/>
              <w:left w:val="single" w:sz="4" w:space="0" w:color="auto"/>
              <w:bottom w:val="single" w:sz="4" w:space="0" w:color="auto"/>
              <w:right w:val="single" w:sz="4" w:space="0" w:color="auto"/>
            </w:tcBorders>
          </w:tcPr>
          <w:p w14:paraId="1D523132" w14:textId="3E9D16B2" w:rsidR="00CB640D" w:rsidRPr="00BB79FA" w:rsidRDefault="00CB640D" w:rsidP="001A2D6B">
            <w:pPr>
              <w:spacing w:after="0" w:line="240" w:lineRule="auto"/>
              <w:rPr>
                <w:rFonts w:ascii="Arial" w:eastAsia="Times New Roman" w:hAnsi="Arial" w:cs="Arial"/>
                <w:kern w:val="0"/>
                <w:lang w:eastAsia="en-GB"/>
                <w14:ligatures w14:val="none"/>
              </w:rPr>
            </w:pPr>
            <w:r w:rsidRPr="00BB79FA">
              <w:rPr>
                <w:rFonts w:ascii="Arial" w:eastAsia="Times New Roman" w:hAnsi="Arial" w:cs="Arial"/>
                <w:kern w:val="0"/>
                <w:lang w:eastAsia="en-GB"/>
                <w14:ligatures w14:val="none"/>
              </w:rPr>
              <w:t>3</w:t>
            </w:r>
          </w:p>
        </w:tc>
        <w:tc>
          <w:tcPr>
            <w:tcW w:w="7655" w:type="dxa"/>
            <w:tcBorders>
              <w:top w:val="single" w:sz="4" w:space="0" w:color="auto"/>
              <w:left w:val="single" w:sz="4" w:space="0" w:color="auto"/>
              <w:bottom w:val="single" w:sz="4" w:space="0" w:color="auto"/>
              <w:right w:val="single" w:sz="4" w:space="0" w:color="auto"/>
            </w:tcBorders>
            <w:hideMark/>
          </w:tcPr>
          <w:p w14:paraId="52E7501C" w14:textId="77777777" w:rsidR="00CB640D" w:rsidRPr="00BB79FA" w:rsidRDefault="00CB640D" w:rsidP="00CB640D">
            <w:pPr>
              <w:spacing w:after="0" w:line="240" w:lineRule="auto"/>
              <w:rPr>
                <w:rFonts w:ascii="Arial" w:eastAsia="Times New Roman" w:hAnsi="Arial" w:cs="Arial"/>
                <w:b/>
                <w:bCs/>
                <w:kern w:val="0"/>
                <w:lang w:eastAsia="en-GB"/>
                <w14:ligatures w14:val="none"/>
              </w:rPr>
            </w:pPr>
            <w:r w:rsidRPr="00BB79FA">
              <w:rPr>
                <w:rFonts w:ascii="Arial" w:eastAsia="Times New Roman" w:hAnsi="Arial" w:cs="Arial"/>
                <w:b/>
                <w:bCs/>
                <w:kern w:val="0"/>
                <w:lang w:eastAsia="en-GB"/>
                <w14:ligatures w14:val="none"/>
              </w:rPr>
              <w:t>Basis of reporting</w:t>
            </w:r>
          </w:p>
          <w:p w14:paraId="1334F2FC" w14:textId="77777777" w:rsidR="00CB640D" w:rsidRPr="00BB79FA" w:rsidRDefault="00CB640D" w:rsidP="00CB640D">
            <w:pPr>
              <w:spacing w:after="0" w:line="240" w:lineRule="auto"/>
              <w:rPr>
                <w:rFonts w:ascii="Arial" w:eastAsia="Times New Roman" w:hAnsi="Arial" w:cs="Arial"/>
                <w:b/>
                <w:bCs/>
                <w:kern w:val="0"/>
                <w:lang w:eastAsia="en-GB"/>
                <w14:ligatures w14:val="none"/>
              </w:rPr>
            </w:pPr>
          </w:p>
          <w:p w14:paraId="02B6ED2D" w14:textId="4BD60913" w:rsidR="00CB640D" w:rsidRPr="00BB79FA" w:rsidRDefault="00467ABF" w:rsidP="00CB640D">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SDDTs</w:t>
            </w:r>
            <w:r w:rsidRPr="00BB79FA">
              <w:rPr>
                <w:rFonts w:ascii="Arial" w:eastAsia="Times New Roman" w:hAnsi="Arial" w:cs="Arial"/>
                <w:kern w:val="0"/>
                <w:lang w:eastAsia="en-GB"/>
                <w14:ligatures w14:val="none"/>
              </w:rPr>
              <w:t xml:space="preserve"> </w:t>
            </w:r>
            <w:r w:rsidR="00CB640D" w:rsidRPr="00BB79FA">
              <w:rPr>
                <w:rFonts w:ascii="Arial" w:eastAsia="Times New Roman" w:hAnsi="Arial" w:cs="Arial"/>
                <w:kern w:val="0"/>
                <w:lang w:eastAsia="en-GB"/>
                <w14:ligatures w14:val="none"/>
              </w:rPr>
              <w:t xml:space="preserve">should complete the basis of their reporting – </w:t>
            </w:r>
            <w:r w:rsidR="008D707A">
              <w:rPr>
                <w:rFonts w:ascii="Arial" w:eastAsia="Times New Roman" w:hAnsi="Arial" w:cs="Arial"/>
                <w:kern w:val="0"/>
                <w:lang w:eastAsia="en-GB"/>
                <w14:ligatures w14:val="none"/>
              </w:rPr>
              <w:t>Unconsolidated, Solo-Consolidated</w:t>
            </w:r>
            <w:r w:rsidR="00CB640D" w:rsidRPr="00BB79FA">
              <w:rPr>
                <w:rFonts w:ascii="Arial" w:eastAsia="Times New Roman" w:hAnsi="Arial" w:cs="Arial"/>
                <w:kern w:val="0"/>
                <w:lang w:eastAsia="en-GB"/>
                <w14:ligatures w14:val="none"/>
              </w:rPr>
              <w:t>, UK consolidation group</w:t>
            </w:r>
            <w:r w:rsidR="00F66197" w:rsidRPr="00BB79FA">
              <w:rPr>
                <w:rFonts w:ascii="Arial" w:eastAsia="Times New Roman" w:hAnsi="Arial" w:cs="Arial"/>
                <w:kern w:val="0"/>
                <w:lang w:eastAsia="en-GB"/>
                <w14:ligatures w14:val="none"/>
              </w:rPr>
              <w:t>, prudential sub-consolidation, or capital sub-group.</w:t>
            </w:r>
          </w:p>
          <w:p w14:paraId="55E012C8" w14:textId="4937C252" w:rsidR="00F66197" w:rsidRPr="00BB79FA" w:rsidRDefault="00F66197" w:rsidP="00CB640D">
            <w:pPr>
              <w:spacing w:after="0" w:line="240" w:lineRule="auto"/>
              <w:rPr>
                <w:rFonts w:ascii="Arial" w:eastAsia="Times New Roman" w:hAnsi="Arial" w:cs="Arial"/>
                <w:kern w:val="0"/>
                <w:lang w:eastAsia="en-GB"/>
                <w14:ligatures w14:val="none"/>
              </w:rPr>
            </w:pPr>
          </w:p>
        </w:tc>
      </w:tr>
      <w:tr w:rsidR="00CB640D" w:rsidRPr="00BB79FA" w14:paraId="08B7D9A1" w14:textId="77777777" w:rsidTr="001A2D6B">
        <w:trPr>
          <w:trHeight w:val="1008"/>
        </w:trPr>
        <w:tc>
          <w:tcPr>
            <w:tcW w:w="709" w:type="dxa"/>
            <w:tcBorders>
              <w:top w:val="single" w:sz="4" w:space="0" w:color="auto"/>
              <w:left w:val="single" w:sz="4" w:space="0" w:color="auto"/>
              <w:bottom w:val="single" w:sz="4" w:space="0" w:color="auto"/>
              <w:right w:val="single" w:sz="4" w:space="0" w:color="auto"/>
            </w:tcBorders>
          </w:tcPr>
          <w:p w14:paraId="1E2ED902" w14:textId="3E654828" w:rsidR="00CB640D" w:rsidRPr="00BB79FA" w:rsidRDefault="00CB640D" w:rsidP="001A2D6B">
            <w:pPr>
              <w:spacing w:after="0" w:line="240" w:lineRule="auto"/>
              <w:rPr>
                <w:rFonts w:ascii="Arial" w:eastAsia="Times New Roman" w:hAnsi="Arial" w:cs="Arial"/>
                <w:kern w:val="0"/>
                <w:lang w:eastAsia="en-GB"/>
                <w14:ligatures w14:val="none"/>
              </w:rPr>
            </w:pPr>
            <w:r w:rsidRPr="00BB79FA">
              <w:rPr>
                <w:rFonts w:ascii="Arial" w:eastAsia="Times New Roman" w:hAnsi="Arial" w:cs="Arial"/>
                <w:kern w:val="0"/>
                <w:lang w:eastAsia="en-GB"/>
                <w14:ligatures w14:val="none"/>
              </w:rPr>
              <w:t>4</w:t>
            </w:r>
          </w:p>
        </w:tc>
        <w:tc>
          <w:tcPr>
            <w:tcW w:w="7655" w:type="dxa"/>
            <w:tcBorders>
              <w:top w:val="single" w:sz="4" w:space="0" w:color="auto"/>
              <w:left w:val="single" w:sz="4" w:space="0" w:color="auto"/>
              <w:bottom w:val="single" w:sz="4" w:space="0" w:color="auto"/>
              <w:right w:val="single" w:sz="4" w:space="0" w:color="auto"/>
            </w:tcBorders>
          </w:tcPr>
          <w:p w14:paraId="0ED34628" w14:textId="46930B7D" w:rsidR="00CB640D" w:rsidRPr="00BB79FA" w:rsidRDefault="00CB640D" w:rsidP="001A2D6B">
            <w:pPr>
              <w:spacing w:after="0" w:line="240" w:lineRule="auto"/>
              <w:rPr>
                <w:rFonts w:ascii="Arial" w:eastAsia="Times New Roman" w:hAnsi="Arial" w:cs="Arial"/>
                <w:b/>
                <w:bCs/>
                <w:kern w:val="0"/>
                <w:lang w:eastAsia="en-GB"/>
                <w14:ligatures w14:val="none"/>
              </w:rPr>
            </w:pPr>
            <w:r w:rsidRPr="00BB79FA">
              <w:rPr>
                <w:rFonts w:ascii="Arial" w:eastAsia="Times New Roman" w:hAnsi="Arial" w:cs="Arial"/>
                <w:b/>
                <w:bCs/>
                <w:kern w:val="0"/>
                <w:lang w:eastAsia="en-GB"/>
                <w14:ligatures w14:val="none"/>
              </w:rPr>
              <w:t>Submission number</w:t>
            </w:r>
          </w:p>
          <w:p w14:paraId="5A3734E9" w14:textId="77777777" w:rsidR="00CB640D" w:rsidRPr="00BB79FA" w:rsidRDefault="00CB640D" w:rsidP="001A2D6B">
            <w:pPr>
              <w:spacing w:after="0" w:line="240" w:lineRule="auto"/>
              <w:rPr>
                <w:rFonts w:ascii="Arial" w:eastAsia="Times New Roman" w:hAnsi="Arial" w:cs="Arial"/>
                <w:b/>
                <w:bCs/>
                <w:kern w:val="0"/>
                <w:lang w:eastAsia="en-GB"/>
                <w14:ligatures w14:val="none"/>
              </w:rPr>
            </w:pPr>
          </w:p>
          <w:p w14:paraId="0D54463B" w14:textId="0F4B416B" w:rsidR="00CB640D" w:rsidRPr="00BB79FA" w:rsidRDefault="00467ABF" w:rsidP="00F66197">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SDDTs</w:t>
            </w:r>
            <w:r w:rsidRPr="00BB79FA">
              <w:rPr>
                <w:rFonts w:ascii="Arial" w:eastAsia="Times New Roman" w:hAnsi="Arial" w:cs="Arial"/>
                <w:kern w:val="0"/>
                <w:lang w:eastAsia="en-GB"/>
                <w14:ligatures w14:val="none"/>
              </w:rPr>
              <w:t xml:space="preserve"> </w:t>
            </w:r>
            <w:r w:rsidR="00F66197" w:rsidRPr="00BB79FA">
              <w:rPr>
                <w:rFonts w:ascii="Arial" w:eastAsia="Times New Roman" w:hAnsi="Arial" w:cs="Arial"/>
                <w:kern w:val="0"/>
                <w:lang w:eastAsia="en-GB"/>
                <w14:ligatures w14:val="none"/>
              </w:rPr>
              <w:t>should enter ‘1’ and increase this number by ‘1’ in case of resubmission.</w:t>
            </w:r>
          </w:p>
          <w:p w14:paraId="5FC0F65B" w14:textId="03292F2A" w:rsidR="00F66197" w:rsidRPr="00BB79FA" w:rsidRDefault="00F66197" w:rsidP="00F66197">
            <w:pPr>
              <w:spacing w:after="0" w:line="240" w:lineRule="auto"/>
              <w:rPr>
                <w:rFonts w:ascii="Arial" w:eastAsia="Times New Roman" w:hAnsi="Arial" w:cs="Arial"/>
                <w:b/>
                <w:bCs/>
                <w:kern w:val="0"/>
                <w:lang w:eastAsia="en-GB"/>
                <w14:ligatures w14:val="none"/>
              </w:rPr>
            </w:pPr>
          </w:p>
        </w:tc>
      </w:tr>
      <w:tr w:rsidR="00CB640D" w:rsidRPr="00BB79FA" w14:paraId="16D38234" w14:textId="77777777" w:rsidTr="005E746E">
        <w:trPr>
          <w:trHeight w:val="1104"/>
        </w:trPr>
        <w:tc>
          <w:tcPr>
            <w:tcW w:w="709" w:type="dxa"/>
            <w:tcBorders>
              <w:top w:val="nil"/>
              <w:left w:val="single" w:sz="4" w:space="0" w:color="auto"/>
              <w:bottom w:val="nil"/>
              <w:right w:val="single" w:sz="4" w:space="0" w:color="auto"/>
            </w:tcBorders>
          </w:tcPr>
          <w:p w14:paraId="3CBF8615" w14:textId="21861A7C" w:rsidR="00CB640D" w:rsidRPr="00BB79FA" w:rsidRDefault="00F66197" w:rsidP="001A2D6B">
            <w:pPr>
              <w:spacing w:after="0" w:line="240" w:lineRule="auto"/>
              <w:rPr>
                <w:rFonts w:ascii="Arial" w:eastAsia="Times New Roman" w:hAnsi="Arial" w:cs="Arial"/>
                <w:kern w:val="0"/>
                <w:lang w:eastAsia="en-GB"/>
                <w14:ligatures w14:val="none"/>
              </w:rPr>
            </w:pPr>
            <w:r w:rsidRPr="00BB79FA">
              <w:rPr>
                <w:rFonts w:ascii="Arial" w:eastAsia="Times New Roman" w:hAnsi="Arial" w:cs="Arial"/>
                <w:kern w:val="0"/>
                <w:lang w:eastAsia="en-GB"/>
                <w14:ligatures w14:val="none"/>
              </w:rPr>
              <w:t>5</w:t>
            </w:r>
          </w:p>
        </w:tc>
        <w:tc>
          <w:tcPr>
            <w:tcW w:w="7655" w:type="dxa"/>
            <w:tcBorders>
              <w:top w:val="nil"/>
              <w:left w:val="single" w:sz="4" w:space="0" w:color="auto"/>
              <w:bottom w:val="nil"/>
              <w:right w:val="single" w:sz="4" w:space="0" w:color="auto"/>
            </w:tcBorders>
            <w:hideMark/>
          </w:tcPr>
          <w:p w14:paraId="3CFB7C12" w14:textId="79C61ABF" w:rsidR="00CB640D" w:rsidRPr="00BB79FA" w:rsidRDefault="00CB640D" w:rsidP="00CB640D">
            <w:pPr>
              <w:spacing w:after="0" w:line="240" w:lineRule="auto"/>
              <w:rPr>
                <w:rFonts w:ascii="Arial" w:eastAsia="Times New Roman" w:hAnsi="Arial" w:cs="Arial"/>
                <w:b/>
                <w:bCs/>
                <w:kern w:val="0"/>
                <w:lang w:eastAsia="en-GB"/>
                <w14:ligatures w14:val="none"/>
              </w:rPr>
            </w:pPr>
            <w:r w:rsidRPr="00BB79FA">
              <w:rPr>
                <w:rFonts w:ascii="Arial" w:eastAsia="Times New Roman" w:hAnsi="Arial" w:cs="Arial"/>
                <w:b/>
                <w:bCs/>
                <w:kern w:val="0"/>
                <w:lang w:eastAsia="en-GB"/>
                <w14:ligatures w14:val="none"/>
              </w:rPr>
              <w:t>Firm reference number (FRN)</w:t>
            </w:r>
          </w:p>
        </w:tc>
      </w:tr>
      <w:tr w:rsidR="00CB640D" w:rsidRPr="00BB79FA" w14:paraId="33CC860F" w14:textId="77777777" w:rsidTr="005E746E">
        <w:trPr>
          <w:trHeight w:val="1104"/>
        </w:trPr>
        <w:tc>
          <w:tcPr>
            <w:tcW w:w="709" w:type="dxa"/>
            <w:tcBorders>
              <w:top w:val="nil"/>
              <w:left w:val="single" w:sz="4" w:space="0" w:color="auto"/>
              <w:bottom w:val="nil"/>
              <w:right w:val="single" w:sz="4" w:space="0" w:color="auto"/>
            </w:tcBorders>
          </w:tcPr>
          <w:p w14:paraId="378749C5" w14:textId="4768D53F" w:rsidR="00CB640D" w:rsidRPr="00BB79FA" w:rsidRDefault="00F66197" w:rsidP="001A2D6B">
            <w:pPr>
              <w:spacing w:after="0" w:line="240" w:lineRule="auto"/>
              <w:rPr>
                <w:rFonts w:ascii="Arial" w:eastAsia="Times New Roman" w:hAnsi="Arial" w:cs="Arial"/>
                <w:kern w:val="0"/>
                <w:lang w:eastAsia="en-GB"/>
                <w14:ligatures w14:val="none"/>
              </w:rPr>
            </w:pPr>
            <w:r w:rsidRPr="00BB79FA">
              <w:rPr>
                <w:rFonts w:ascii="Arial" w:eastAsia="Times New Roman" w:hAnsi="Arial" w:cs="Arial"/>
                <w:kern w:val="0"/>
                <w:lang w:eastAsia="en-GB"/>
                <w14:ligatures w14:val="none"/>
              </w:rPr>
              <w:t>6</w:t>
            </w:r>
          </w:p>
        </w:tc>
        <w:tc>
          <w:tcPr>
            <w:tcW w:w="7655" w:type="dxa"/>
            <w:tcBorders>
              <w:top w:val="nil"/>
              <w:left w:val="single" w:sz="4" w:space="0" w:color="auto"/>
              <w:bottom w:val="nil"/>
              <w:right w:val="single" w:sz="4" w:space="0" w:color="auto"/>
            </w:tcBorders>
          </w:tcPr>
          <w:p w14:paraId="5C25DE43" w14:textId="77497DA0" w:rsidR="00CB640D" w:rsidRPr="00BB79FA" w:rsidRDefault="00CB640D" w:rsidP="001A2D6B">
            <w:pPr>
              <w:spacing w:after="0" w:line="240" w:lineRule="auto"/>
              <w:rPr>
                <w:rFonts w:ascii="Arial" w:eastAsia="Times New Roman" w:hAnsi="Arial" w:cs="Arial"/>
                <w:b/>
                <w:bCs/>
                <w:kern w:val="0"/>
                <w:lang w:eastAsia="en-GB"/>
                <w14:ligatures w14:val="none"/>
              </w:rPr>
            </w:pPr>
            <w:r w:rsidRPr="00BB79FA">
              <w:rPr>
                <w:rFonts w:ascii="Arial" w:eastAsia="Times New Roman" w:hAnsi="Arial" w:cs="Arial"/>
                <w:b/>
                <w:bCs/>
                <w:kern w:val="0"/>
                <w:lang w:eastAsia="en-GB"/>
                <w14:ligatures w14:val="none"/>
              </w:rPr>
              <w:t>Name of the firm</w:t>
            </w:r>
          </w:p>
        </w:tc>
      </w:tr>
      <w:tr w:rsidR="00CB640D" w:rsidRPr="00BB79FA" w14:paraId="346117BA" w14:textId="77777777" w:rsidTr="005E746E">
        <w:trPr>
          <w:trHeight w:val="1104"/>
        </w:trPr>
        <w:tc>
          <w:tcPr>
            <w:tcW w:w="709" w:type="dxa"/>
            <w:tcBorders>
              <w:top w:val="nil"/>
              <w:left w:val="single" w:sz="4" w:space="0" w:color="auto"/>
              <w:bottom w:val="nil"/>
              <w:right w:val="single" w:sz="4" w:space="0" w:color="auto"/>
            </w:tcBorders>
          </w:tcPr>
          <w:p w14:paraId="49AF56DA" w14:textId="61032547" w:rsidR="00CB640D" w:rsidRPr="00BB79FA" w:rsidRDefault="00F66197" w:rsidP="001A2D6B">
            <w:pPr>
              <w:spacing w:after="0" w:line="240" w:lineRule="auto"/>
              <w:rPr>
                <w:rFonts w:ascii="Arial" w:eastAsia="Times New Roman" w:hAnsi="Arial" w:cs="Arial"/>
                <w:kern w:val="0"/>
                <w:lang w:eastAsia="en-GB"/>
                <w14:ligatures w14:val="none"/>
              </w:rPr>
            </w:pPr>
            <w:r w:rsidRPr="00BB79FA">
              <w:rPr>
                <w:rFonts w:ascii="Arial" w:eastAsia="Times New Roman" w:hAnsi="Arial" w:cs="Arial"/>
                <w:kern w:val="0"/>
                <w:lang w:eastAsia="en-GB"/>
                <w14:ligatures w14:val="none"/>
              </w:rPr>
              <w:t>7</w:t>
            </w:r>
          </w:p>
        </w:tc>
        <w:tc>
          <w:tcPr>
            <w:tcW w:w="7655" w:type="dxa"/>
            <w:tcBorders>
              <w:top w:val="nil"/>
              <w:left w:val="single" w:sz="4" w:space="0" w:color="auto"/>
              <w:bottom w:val="nil"/>
              <w:right w:val="single" w:sz="4" w:space="0" w:color="auto"/>
            </w:tcBorders>
          </w:tcPr>
          <w:p w14:paraId="5D33F948" w14:textId="77777777" w:rsidR="00CB640D" w:rsidRPr="00BB79FA" w:rsidRDefault="00CB640D" w:rsidP="001A2D6B">
            <w:pPr>
              <w:spacing w:after="0" w:line="240" w:lineRule="auto"/>
              <w:rPr>
                <w:rFonts w:ascii="Arial" w:eastAsia="Times New Roman" w:hAnsi="Arial" w:cs="Arial"/>
                <w:b/>
                <w:bCs/>
                <w:kern w:val="0"/>
                <w:lang w:eastAsia="en-GB"/>
                <w14:ligatures w14:val="none"/>
              </w:rPr>
            </w:pPr>
            <w:r w:rsidRPr="00BB79FA">
              <w:rPr>
                <w:rFonts w:ascii="Arial" w:eastAsia="Times New Roman" w:hAnsi="Arial" w:cs="Arial"/>
                <w:b/>
                <w:bCs/>
                <w:kern w:val="0"/>
                <w:lang w:eastAsia="en-GB"/>
                <w14:ligatures w14:val="none"/>
              </w:rPr>
              <w:t>Reporting period start date</w:t>
            </w:r>
          </w:p>
          <w:p w14:paraId="34134588" w14:textId="77777777" w:rsidR="00F66197" w:rsidRPr="00BB79FA" w:rsidRDefault="00F66197" w:rsidP="001A2D6B">
            <w:pPr>
              <w:spacing w:after="0" w:line="240" w:lineRule="auto"/>
              <w:rPr>
                <w:rFonts w:ascii="Arial" w:eastAsia="Times New Roman" w:hAnsi="Arial" w:cs="Arial"/>
                <w:b/>
                <w:bCs/>
                <w:kern w:val="0"/>
                <w:lang w:eastAsia="en-GB"/>
                <w14:ligatures w14:val="none"/>
              </w:rPr>
            </w:pPr>
          </w:p>
          <w:p w14:paraId="1004F604" w14:textId="77777777" w:rsidR="00F66197" w:rsidRPr="00BB79FA" w:rsidRDefault="00F66197" w:rsidP="001A2D6B">
            <w:pPr>
              <w:spacing w:after="0" w:line="240" w:lineRule="auto"/>
              <w:rPr>
                <w:rFonts w:ascii="Arial" w:eastAsia="Times New Roman" w:hAnsi="Arial" w:cs="Arial"/>
                <w:kern w:val="0"/>
                <w:lang w:eastAsia="en-GB"/>
                <w14:ligatures w14:val="none"/>
              </w:rPr>
            </w:pPr>
            <w:r w:rsidRPr="00BB79FA">
              <w:rPr>
                <w:rFonts w:ascii="Arial" w:eastAsia="Times New Roman" w:hAnsi="Arial" w:cs="Arial"/>
                <w:kern w:val="0"/>
                <w:lang w:eastAsia="en-GB"/>
                <w14:ligatures w14:val="none"/>
              </w:rPr>
              <w:t>The start date should coincide with the ICAAP assessment period and is the balance sheet start date used for the purposes of the ICAAP assessment.</w:t>
            </w:r>
          </w:p>
          <w:p w14:paraId="66A3C8F4" w14:textId="2E19C59A" w:rsidR="00F66197" w:rsidRPr="00BB79FA" w:rsidRDefault="00F66197" w:rsidP="001A2D6B">
            <w:pPr>
              <w:spacing w:after="0" w:line="240" w:lineRule="auto"/>
              <w:rPr>
                <w:rFonts w:ascii="Arial" w:eastAsia="Times New Roman" w:hAnsi="Arial" w:cs="Arial"/>
                <w:kern w:val="0"/>
                <w:lang w:eastAsia="en-GB"/>
                <w14:ligatures w14:val="none"/>
              </w:rPr>
            </w:pPr>
          </w:p>
        </w:tc>
      </w:tr>
      <w:tr w:rsidR="00CB640D" w:rsidRPr="00BB79FA" w14:paraId="52A31811" w14:textId="77777777" w:rsidTr="005E746E">
        <w:trPr>
          <w:trHeight w:val="1104"/>
        </w:trPr>
        <w:tc>
          <w:tcPr>
            <w:tcW w:w="709" w:type="dxa"/>
            <w:tcBorders>
              <w:top w:val="nil"/>
              <w:left w:val="single" w:sz="4" w:space="0" w:color="auto"/>
              <w:bottom w:val="nil"/>
              <w:right w:val="single" w:sz="4" w:space="0" w:color="auto"/>
            </w:tcBorders>
          </w:tcPr>
          <w:p w14:paraId="353F2784" w14:textId="780DBD09" w:rsidR="00CB640D" w:rsidRPr="00BB79FA" w:rsidRDefault="00F66197" w:rsidP="001A2D6B">
            <w:pPr>
              <w:spacing w:after="0" w:line="240" w:lineRule="auto"/>
              <w:rPr>
                <w:rFonts w:ascii="Arial" w:eastAsia="Times New Roman" w:hAnsi="Arial" w:cs="Arial"/>
                <w:kern w:val="0"/>
                <w:lang w:eastAsia="en-GB"/>
                <w14:ligatures w14:val="none"/>
              </w:rPr>
            </w:pPr>
            <w:r w:rsidRPr="00BB79FA">
              <w:rPr>
                <w:rFonts w:ascii="Arial" w:eastAsia="Times New Roman" w:hAnsi="Arial" w:cs="Arial"/>
                <w:kern w:val="0"/>
                <w:lang w:eastAsia="en-GB"/>
                <w14:ligatures w14:val="none"/>
              </w:rPr>
              <w:t>8</w:t>
            </w:r>
          </w:p>
        </w:tc>
        <w:tc>
          <w:tcPr>
            <w:tcW w:w="7655" w:type="dxa"/>
            <w:tcBorders>
              <w:top w:val="nil"/>
              <w:left w:val="single" w:sz="4" w:space="0" w:color="auto"/>
              <w:bottom w:val="nil"/>
              <w:right w:val="single" w:sz="4" w:space="0" w:color="auto"/>
            </w:tcBorders>
          </w:tcPr>
          <w:p w14:paraId="6774FE66" w14:textId="77777777" w:rsidR="00CB640D" w:rsidRPr="00BB79FA" w:rsidRDefault="00CB640D" w:rsidP="001A2D6B">
            <w:pPr>
              <w:spacing w:after="0" w:line="240" w:lineRule="auto"/>
              <w:rPr>
                <w:rFonts w:ascii="Arial" w:eastAsia="Times New Roman" w:hAnsi="Arial" w:cs="Arial"/>
                <w:b/>
                <w:bCs/>
                <w:kern w:val="0"/>
                <w:lang w:eastAsia="en-GB"/>
                <w14:ligatures w14:val="none"/>
              </w:rPr>
            </w:pPr>
            <w:r w:rsidRPr="00BB79FA">
              <w:rPr>
                <w:rFonts w:ascii="Arial" w:eastAsia="Times New Roman" w:hAnsi="Arial" w:cs="Arial"/>
                <w:b/>
                <w:bCs/>
                <w:kern w:val="0"/>
                <w:lang w:eastAsia="en-GB"/>
                <w14:ligatures w14:val="none"/>
              </w:rPr>
              <w:t>Reporting period end date</w:t>
            </w:r>
          </w:p>
          <w:p w14:paraId="6BFE119A" w14:textId="77777777" w:rsidR="00F66197" w:rsidRPr="00BB79FA" w:rsidRDefault="00F66197" w:rsidP="001A2D6B">
            <w:pPr>
              <w:spacing w:after="0" w:line="240" w:lineRule="auto"/>
              <w:rPr>
                <w:rFonts w:ascii="Arial" w:eastAsia="Times New Roman" w:hAnsi="Arial" w:cs="Arial"/>
                <w:b/>
                <w:bCs/>
                <w:kern w:val="0"/>
                <w:lang w:eastAsia="en-GB"/>
                <w14:ligatures w14:val="none"/>
              </w:rPr>
            </w:pPr>
          </w:p>
          <w:p w14:paraId="7A42BC16" w14:textId="54C122B0" w:rsidR="00F66197" w:rsidRPr="00BB79FA" w:rsidRDefault="00F66197" w:rsidP="001A2D6B">
            <w:pPr>
              <w:spacing w:after="0" w:line="240" w:lineRule="auto"/>
              <w:rPr>
                <w:rFonts w:ascii="Arial" w:eastAsia="Times New Roman" w:hAnsi="Arial" w:cs="Arial"/>
                <w:kern w:val="0"/>
                <w:lang w:eastAsia="en-GB"/>
                <w14:ligatures w14:val="none"/>
              </w:rPr>
            </w:pPr>
            <w:r w:rsidRPr="00BB79FA">
              <w:rPr>
                <w:rFonts w:ascii="Arial" w:eastAsia="Times New Roman" w:hAnsi="Arial" w:cs="Arial"/>
                <w:kern w:val="0"/>
                <w:lang w:eastAsia="en-GB"/>
                <w14:ligatures w14:val="none"/>
              </w:rPr>
              <w:t xml:space="preserve">The end date should coincide with the ICAAP assessment period and is the balance sheet end date used for the purposes of the ICAAP assessment. </w:t>
            </w:r>
          </w:p>
          <w:p w14:paraId="52DBBB09" w14:textId="0AC9D54A" w:rsidR="00F66197" w:rsidRPr="00BB79FA" w:rsidRDefault="00F66197" w:rsidP="001A2D6B">
            <w:pPr>
              <w:spacing w:after="0" w:line="240" w:lineRule="auto"/>
              <w:rPr>
                <w:rFonts w:ascii="Arial" w:eastAsia="Times New Roman" w:hAnsi="Arial" w:cs="Arial"/>
                <w:kern w:val="0"/>
                <w:lang w:eastAsia="en-GB"/>
                <w14:ligatures w14:val="none"/>
              </w:rPr>
            </w:pPr>
          </w:p>
        </w:tc>
      </w:tr>
      <w:tr w:rsidR="00CB640D" w:rsidRPr="00BB79FA" w14:paraId="7E031EC5" w14:textId="77777777" w:rsidTr="005E746E">
        <w:trPr>
          <w:trHeight w:val="1104"/>
        </w:trPr>
        <w:tc>
          <w:tcPr>
            <w:tcW w:w="709" w:type="dxa"/>
            <w:tcBorders>
              <w:top w:val="nil"/>
              <w:left w:val="single" w:sz="4" w:space="0" w:color="auto"/>
              <w:bottom w:val="nil"/>
              <w:right w:val="single" w:sz="4" w:space="0" w:color="auto"/>
            </w:tcBorders>
          </w:tcPr>
          <w:p w14:paraId="4FDF6B34" w14:textId="01EC84FE" w:rsidR="00CB640D" w:rsidRPr="00BB79FA" w:rsidRDefault="00F66197" w:rsidP="001A2D6B">
            <w:pPr>
              <w:spacing w:after="0" w:line="240" w:lineRule="auto"/>
              <w:rPr>
                <w:rFonts w:ascii="Arial" w:eastAsia="Times New Roman" w:hAnsi="Arial" w:cs="Arial"/>
                <w:kern w:val="0"/>
                <w:lang w:eastAsia="en-GB"/>
                <w14:ligatures w14:val="none"/>
              </w:rPr>
            </w:pPr>
            <w:r w:rsidRPr="00BB79FA">
              <w:rPr>
                <w:rFonts w:ascii="Arial" w:eastAsia="Times New Roman" w:hAnsi="Arial" w:cs="Arial"/>
                <w:kern w:val="0"/>
                <w:lang w:eastAsia="en-GB"/>
                <w14:ligatures w14:val="none"/>
              </w:rPr>
              <w:t>9</w:t>
            </w:r>
          </w:p>
        </w:tc>
        <w:tc>
          <w:tcPr>
            <w:tcW w:w="7655" w:type="dxa"/>
            <w:tcBorders>
              <w:top w:val="nil"/>
              <w:left w:val="single" w:sz="4" w:space="0" w:color="auto"/>
              <w:bottom w:val="nil"/>
              <w:right w:val="single" w:sz="4" w:space="0" w:color="auto"/>
            </w:tcBorders>
          </w:tcPr>
          <w:p w14:paraId="040E3558" w14:textId="77777777" w:rsidR="00CB640D" w:rsidRPr="00BB79FA" w:rsidRDefault="00CB640D" w:rsidP="001A2D6B">
            <w:pPr>
              <w:spacing w:after="0" w:line="240" w:lineRule="auto"/>
              <w:rPr>
                <w:rFonts w:ascii="Arial" w:eastAsia="Times New Roman" w:hAnsi="Arial" w:cs="Arial"/>
                <w:b/>
                <w:bCs/>
                <w:kern w:val="0"/>
                <w:lang w:eastAsia="en-GB"/>
                <w14:ligatures w14:val="none"/>
              </w:rPr>
            </w:pPr>
            <w:r w:rsidRPr="00BB79FA">
              <w:rPr>
                <w:rFonts w:ascii="Arial" w:eastAsia="Times New Roman" w:hAnsi="Arial" w:cs="Arial"/>
                <w:b/>
                <w:bCs/>
                <w:kern w:val="0"/>
                <w:lang w:eastAsia="en-GB"/>
                <w14:ligatures w14:val="none"/>
              </w:rPr>
              <w:t>Reporting currency</w:t>
            </w:r>
          </w:p>
          <w:p w14:paraId="008AC5D6" w14:textId="77777777" w:rsidR="00F66197" w:rsidRPr="00BB79FA" w:rsidRDefault="00F66197" w:rsidP="001A2D6B">
            <w:pPr>
              <w:spacing w:after="0" w:line="240" w:lineRule="auto"/>
              <w:rPr>
                <w:rFonts w:ascii="Arial" w:eastAsia="Times New Roman" w:hAnsi="Arial" w:cs="Arial"/>
                <w:b/>
                <w:bCs/>
                <w:kern w:val="0"/>
                <w:lang w:eastAsia="en-GB"/>
                <w14:ligatures w14:val="none"/>
              </w:rPr>
            </w:pPr>
          </w:p>
          <w:p w14:paraId="7ED74FB6" w14:textId="24672A2E" w:rsidR="00F66197" w:rsidRPr="00BB79FA" w:rsidRDefault="00F66197" w:rsidP="00F66197">
            <w:pPr>
              <w:spacing w:after="0" w:line="240" w:lineRule="auto"/>
              <w:rPr>
                <w:rFonts w:ascii="Arial" w:eastAsia="Times New Roman" w:hAnsi="Arial" w:cs="Arial"/>
                <w:kern w:val="0"/>
                <w:lang w:eastAsia="en-GB"/>
                <w14:ligatures w14:val="none"/>
              </w:rPr>
            </w:pPr>
            <w:r w:rsidRPr="00BB79FA">
              <w:rPr>
                <w:rFonts w:ascii="Arial" w:eastAsia="Times New Roman" w:hAnsi="Arial" w:cs="Arial"/>
                <w:kern w:val="0"/>
                <w:lang w:eastAsia="en-GB"/>
                <w14:ligatures w14:val="none"/>
              </w:rPr>
              <w:t>Firms should report in the currency of their ICAAP</w:t>
            </w:r>
            <w:r w:rsidR="00C26FB8">
              <w:rPr>
                <w:rFonts w:ascii="Arial" w:eastAsia="Times New Roman" w:hAnsi="Arial" w:cs="Arial"/>
                <w:kern w:val="0"/>
                <w:lang w:eastAsia="en-GB"/>
                <w14:ligatures w14:val="none"/>
              </w:rPr>
              <w:t>.</w:t>
            </w:r>
            <w:r w:rsidR="00C26FB8" w:rsidRPr="00BB79FA">
              <w:rPr>
                <w:rFonts w:ascii="Arial" w:eastAsia="Times New Roman" w:hAnsi="Arial" w:cs="Arial"/>
                <w:kern w:val="0"/>
                <w:lang w:eastAsia="en-GB"/>
                <w14:ligatures w14:val="none"/>
              </w:rPr>
              <w:t xml:space="preserve"> </w:t>
            </w:r>
          </w:p>
          <w:p w14:paraId="49207A5D" w14:textId="32356659" w:rsidR="00F66197" w:rsidRPr="00BB79FA" w:rsidRDefault="00F66197" w:rsidP="001A2D6B">
            <w:pPr>
              <w:spacing w:after="0" w:line="240" w:lineRule="auto"/>
              <w:rPr>
                <w:rFonts w:ascii="Arial" w:eastAsia="Times New Roman" w:hAnsi="Arial" w:cs="Arial"/>
                <w:kern w:val="0"/>
                <w:lang w:eastAsia="en-GB"/>
                <w14:ligatures w14:val="none"/>
              </w:rPr>
            </w:pPr>
          </w:p>
        </w:tc>
      </w:tr>
      <w:tr w:rsidR="00CB640D" w:rsidRPr="00BB79FA" w14:paraId="7BBD8BC2" w14:textId="77777777" w:rsidTr="001A2D6B">
        <w:trPr>
          <w:trHeight w:val="1104"/>
        </w:trPr>
        <w:tc>
          <w:tcPr>
            <w:tcW w:w="709" w:type="dxa"/>
            <w:tcBorders>
              <w:top w:val="nil"/>
              <w:left w:val="single" w:sz="4" w:space="0" w:color="auto"/>
              <w:bottom w:val="single" w:sz="4" w:space="0" w:color="auto"/>
              <w:right w:val="single" w:sz="4" w:space="0" w:color="auto"/>
            </w:tcBorders>
          </w:tcPr>
          <w:p w14:paraId="457CE501" w14:textId="6D5DB5B5" w:rsidR="00CB640D" w:rsidRPr="00BB79FA" w:rsidRDefault="00CB640D" w:rsidP="001A2D6B">
            <w:pPr>
              <w:spacing w:after="0" w:line="240" w:lineRule="auto"/>
              <w:rPr>
                <w:rFonts w:ascii="Arial" w:eastAsia="Times New Roman" w:hAnsi="Arial" w:cs="Arial"/>
                <w:kern w:val="0"/>
                <w:lang w:eastAsia="en-GB"/>
                <w14:ligatures w14:val="none"/>
              </w:rPr>
            </w:pPr>
            <w:r w:rsidRPr="00BB79FA">
              <w:rPr>
                <w:rFonts w:ascii="Arial" w:eastAsia="Times New Roman" w:hAnsi="Arial" w:cs="Arial"/>
                <w:kern w:val="0"/>
                <w:lang w:eastAsia="en-GB"/>
                <w14:ligatures w14:val="none"/>
              </w:rPr>
              <w:t>1</w:t>
            </w:r>
            <w:r w:rsidR="00F66197" w:rsidRPr="00BB79FA">
              <w:rPr>
                <w:rFonts w:ascii="Arial" w:eastAsia="Times New Roman" w:hAnsi="Arial" w:cs="Arial"/>
                <w:kern w:val="0"/>
                <w:lang w:eastAsia="en-GB"/>
                <w14:ligatures w14:val="none"/>
              </w:rPr>
              <w:t>0</w:t>
            </w:r>
          </w:p>
        </w:tc>
        <w:tc>
          <w:tcPr>
            <w:tcW w:w="7655" w:type="dxa"/>
            <w:tcBorders>
              <w:top w:val="nil"/>
              <w:left w:val="single" w:sz="4" w:space="0" w:color="auto"/>
              <w:bottom w:val="single" w:sz="4" w:space="0" w:color="auto"/>
              <w:right w:val="single" w:sz="4" w:space="0" w:color="auto"/>
            </w:tcBorders>
          </w:tcPr>
          <w:p w14:paraId="0375B1A7" w14:textId="77777777" w:rsidR="00CB640D" w:rsidRPr="00BB79FA" w:rsidRDefault="00CB640D" w:rsidP="001A2D6B">
            <w:pPr>
              <w:spacing w:after="0" w:line="240" w:lineRule="auto"/>
              <w:rPr>
                <w:rFonts w:ascii="Arial" w:eastAsia="Times New Roman" w:hAnsi="Arial" w:cs="Arial"/>
                <w:b/>
                <w:bCs/>
                <w:kern w:val="0"/>
                <w:lang w:eastAsia="en-GB"/>
                <w14:ligatures w14:val="none"/>
              </w:rPr>
            </w:pPr>
            <w:r w:rsidRPr="00BB79FA">
              <w:rPr>
                <w:rFonts w:ascii="Arial" w:eastAsia="Times New Roman" w:hAnsi="Arial" w:cs="Arial"/>
                <w:b/>
                <w:bCs/>
                <w:kern w:val="0"/>
                <w:lang w:eastAsia="en-GB"/>
                <w14:ligatures w14:val="none"/>
              </w:rPr>
              <w:t>Currency reporting unit</w:t>
            </w:r>
          </w:p>
          <w:p w14:paraId="357D640B" w14:textId="77777777" w:rsidR="00F66197" w:rsidRPr="00BB79FA" w:rsidRDefault="00F66197" w:rsidP="001A2D6B">
            <w:pPr>
              <w:spacing w:after="0" w:line="240" w:lineRule="auto"/>
              <w:rPr>
                <w:rFonts w:ascii="Arial" w:eastAsia="Times New Roman" w:hAnsi="Arial" w:cs="Arial"/>
                <w:b/>
                <w:bCs/>
                <w:kern w:val="0"/>
                <w:lang w:eastAsia="en-GB"/>
                <w14:ligatures w14:val="none"/>
              </w:rPr>
            </w:pPr>
          </w:p>
          <w:p w14:paraId="442060EA" w14:textId="14DFAC18" w:rsidR="00F66197" w:rsidRPr="00BB79FA" w:rsidRDefault="00F66197" w:rsidP="00F66197">
            <w:pPr>
              <w:spacing w:after="0" w:line="240" w:lineRule="auto"/>
              <w:rPr>
                <w:rFonts w:ascii="Arial" w:eastAsia="Times New Roman" w:hAnsi="Arial" w:cs="Arial"/>
                <w:kern w:val="0"/>
                <w:lang w:eastAsia="en-GB"/>
                <w14:ligatures w14:val="none"/>
              </w:rPr>
            </w:pPr>
            <w:r w:rsidRPr="00BB79FA">
              <w:rPr>
                <w:rFonts w:ascii="Arial" w:eastAsia="Times New Roman" w:hAnsi="Arial" w:cs="Arial"/>
                <w:kern w:val="0"/>
                <w:lang w:eastAsia="en-GB"/>
                <w14:ligatures w14:val="none"/>
              </w:rPr>
              <w:t xml:space="preserve">All amounts should be reported in absolute values rounded to the nearest whole number in </w:t>
            </w:r>
            <w:r w:rsidR="00755F15">
              <w:rPr>
                <w:rFonts w:ascii="Arial" w:eastAsia="Times New Roman" w:hAnsi="Arial" w:cs="Arial"/>
                <w:kern w:val="0"/>
                <w:lang w:eastAsia="en-GB"/>
                <w14:ligatures w14:val="none"/>
              </w:rPr>
              <w:t xml:space="preserve">the </w:t>
            </w:r>
            <w:r w:rsidRPr="00BB79FA">
              <w:rPr>
                <w:rFonts w:ascii="Arial" w:eastAsia="Times New Roman" w:hAnsi="Arial" w:cs="Arial"/>
                <w:kern w:val="0"/>
                <w:lang w:eastAsia="en-GB"/>
                <w14:ligatures w14:val="none"/>
              </w:rPr>
              <w:t>reporting currency, except for the weighted average SME SF which should be reported as RWEA weighted percentages.</w:t>
            </w:r>
          </w:p>
          <w:p w14:paraId="1F8A2B2C" w14:textId="77777777" w:rsidR="00F66197" w:rsidRPr="00BB79FA" w:rsidRDefault="00F66197" w:rsidP="00F66197">
            <w:pPr>
              <w:spacing w:after="0" w:line="240" w:lineRule="auto"/>
              <w:rPr>
                <w:rFonts w:ascii="Arial" w:eastAsia="Times New Roman" w:hAnsi="Arial" w:cs="Arial"/>
                <w:kern w:val="0"/>
                <w:lang w:eastAsia="en-GB"/>
                <w14:ligatures w14:val="none"/>
              </w:rPr>
            </w:pPr>
          </w:p>
          <w:p w14:paraId="016BB27C" w14:textId="201FA317" w:rsidR="00F66197" w:rsidRPr="00BB79FA" w:rsidRDefault="00F66197" w:rsidP="00F66197">
            <w:pPr>
              <w:spacing w:after="0" w:line="240" w:lineRule="auto"/>
              <w:rPr>
                <w:rFonts w:ascii="Arial" w:eastAsia="Times New Roman" w:hAnsi="Arial" w:cs="Arial"/>
                <w:kern w:val="0"/>
                <w:lang w:eastAsia="en-GB"/>
                <w14:ligatures w14:val="none"/>
              </w:rPr>
            </w:pPr>
            <w:r w:rsidRPr="00BB79FA">
              <w:rPr>
                <w:rFonts w:ascii="Arial" w:eastAsia="Times New Roman" w:hAnsi="Arial" w:cs="Arial"/>
                <w:kern w:val="0"/>
                <w:lang w:eastAsia="en-GB"/>
                <w14:ligatures w14:val="none"/>
              </w:rPr>
              <w:t>Where values correspond to percentages, these should be entered as decimal numbers up to 2 decimal places.</w:t>
            </w:r>
          </w:p>
          <w:p w14:paraId="636A2FED" w14:textId="10B7B0E9" w:rsidR="00F66197" w:rsidRPr="00BB79FA" w:rsidRDefault="00F66197" w:rsidP="00F66197">
            <w:pPr>
              <w:spacing w:after="0" w:line="240" w:lineRule="auto"/>
              <w:rPr>
                <w:rFonts w:ascii="Arial" w:eastAsia="Times New Roman" w:hAnsi="Arial" w:cs="Arial"/>
                <w:kern w:val="0"/>
                <w:lang w:eastAsia="en-GB"/>
                <w14:ligatures w14:val="none"/>
              </w:rPr>
            </w:pPr>
          </w:p>
        </w:tc>
      </w:tr>
    </w:tbl>
    <w:p w14:paraId="399546F5" w14:textId="72439CB6" w:rsidR="00FB6E4B" w:rsidRPr="00BB79FA" w:rsidRDefault="00FB6E4B" w:rsidP="00471763">
      <w:pPr>
        <w:pStyle w:val="Heading2"/>
        <w:rPr>
          <w:b/>
          <w:bCs/>
          <w:u w:val="single"/>
        </w:rPr>
        <w:sectPr w:rsidR="00FB6E4B" w:rsidRPr="00BB79FA">
          <w:pgSz w:w="11906" w:h="16838"/>
          <w:pgMar w:top="1440" w:right="1440" w:bottom="1440" w:left="1440" w:header="708" w:footer="708" w:gutter="0"/>
          <w:cols w:space="708"/>
          <w:docGrid w:linePitch="360"/>
        </w:sectPr>
      </w:pPr>
    </w:p>
    <w:p w14:paraId="2BCE4060" w14:textId="441B85CD" w:rsidR="00C1050D" w:rsidRPr="00BB79FA" w:rsidRDefault="00C1050D" w:rsidP="0073503F">
      <w:pPr>
        <w:pStyle w:val="Heading2"/>
      </w:pPr>
      <w:r w:rsidRPr="00BB79FA">
        <w:rPr>
          <w:b/>
          <w:bCs/>
          <w:u w:val="single"/>
        </w:rPr>
        <w:lastRenderedPageBreak/>
        <w:t>PART I</w:t>
      </w:r>
      <w:r w:rsidR="00FB6E4B" w:rsidRPr="00BB79FA">
        <w:rPr>
          <w:b/>
          <w:bCs/>
          <w:u w:val="single"/>
        </w:rPr>
        <w:t>I</w:t>
      </w:r>
      <w:r w:rsidRPr="00BB79FA">
        <w:rPr>
          <w:b/>
          <w:bCs/>
          <w:u w:val="single"/>
        </w:rPr>
        <w:t>I: TEMPLATE RELATED INSTRUCTIONS</w:t>
      </w:r>
      <w:bookmarkEnd w:id="4"/>
      <w:r w:rsidR="00FB6E4B" w:rsidRPr="00BB79FA">
        <w:rPr>
          <w:b/>
          <w:bCs/>
          <w:u w:val="single"/>
        </w:rPr>
        <w:t xml:space="preserve"> – DETAILED INFORMATION </w:t>
      </w:r>
    </w:p>
    <w:p w14:paraId="4F646E04" w14:textId="71DCD438" w:rsidR="00F57E5A" w:rsidRPr="00BB79FA" w:rsidRDefault="009D4BA0" w:rsidP="0073503F">
      <w:pPr>
        <w:rPr>
          <w:rFonts w:ascii="Arial" w:hAnsi="Arial" w:cs="Arial"/>
        </w:rPr>
      </w:pPr>
      <w:r w:rsidRPr="00BB79FA">
        <w:rPr>
          <w:rFonts w:ascii="Arial" w:hAnsi="Arial" w:cs="Arial"/>
          <w:b/>
          <w:bCs/>
        </w:rPr>
        <w:t xml:space="preserve">SUBMISSION </w:t>
      </w:r>
      <w:r w:rsidR="00537BC5" w:rsidRPr="00BB79FA">
        <w:rPr>
          <w:rFonts w:ascii="Arial" w:hAnsi="Arial" w:cs="Arial"/>
          <w:b/>
          <w:bCs/>
        </w:rPr>
        <w:t>A</w:t>
      </w:r>
      <w:r w:rsidR="00995A16">
        <w:rPr>
          <w:rFonts w:ascii="Arial" w:hAnsi="Arial" w:cs="Arial"/>
          <w:b/>
          <w:bCs/>
        </w:rPr>
        <w:t xml:space="preserve"> for SDDTs</w:t>
      </w:r>
      <w:r w:rsidR="007B3856" w:rsidRPr="00BB79FA">
        <w:rPr>
          <w:rFonts w:ascii="Arial" w:hAnsi="Arial" w:cs="Arial"/>
          <w:b/>
          <w:bCs/>
        </w:rPr>
        <w:t>: Relevant SME exposures</w:t>
      </w:r>
      <w:bookmarkStart w:id="5" w:name="_Toc169099828"/>
    </w:p>
    <w:p w14:paraId="1FBD3B3A" w14:textId="3B122123" w:rsidR="00F53362" w:rsidRPr="00BB79FA" w:rsidRDefault="009D4BA0" w:rsidP="00A23969">
      <w:pPr>
        <w:pStyle w:val="Heading2"/>
        <w:numPr>
          <w:ilvl w:val="1"/>
          <w:numId w:val="43"/>
        </w:numPr>
        <w:ind w:left="567" w:hanging="567"/>
      </w:pPr>
      <w:r w:rsidRPr="00BB79FA">
        <w:t xml:space="preserve">Submission </w:t>
      </w:r>
      <w:r w:rsidR="00537BC5" w:rsidRPr="00BB79FA">
        <w:t>A</w:t>
      </w:r>
      <w:r w:rsidR="00F53362" w:rsidRPr="00BB79FA">
        <w:t xml:space="preserve"> </w:t>
      </w:r>
      <w:r w:rsidR="009B5809" w:rsidRPr="00BB79FA">
        <w:t>shall include</w:t>
      </w:r>
      <w:r w:rsidR="00F53362" w:rsidRPr="00BB79FA">
        <w:t xml:space="preserve"> </w:t>
      </w:r>
      <w:r w:rsidR="00B517F6" w:rsidRPr="00BB79FA">
        <w:t xml:space="preserve">only those </w:t>
      </w:r>
      <w:r w:rsidR="00F53362" w:rsidRPr="00BB79FA">
        <w:t xml:space="preserve">exposures which are eligible for the SME </w:t>
      </w:r>
      <w:r w:rsidR="00E505B1">
        <w:t>lending adjustment</w:t>
      </w:r>
      <w:r w:rsidR="00F53362" w:rsidRPr="00BB79FA">
        <w:t xml:space="preserve"> </w:t>
      </w:r>
      <w:r w:rsidR="00C67D49" w:rsidRPr="00BB79FA">
        <w:t>in accordance with</w:t>
      </w:r>
      <w:r w:rsidR="00F53362" w:rsidRPr="00BB79FA">
        <w:t xml:space="preserve"> </w:t>
      </w:r>
      <w:r w:rsidR="001D3659" w:rsidRPr="00BB79FA">
        <w:t>paragraph</w:t>
      </w:r>
      <w:r w:rsidR="0005129B" w:rsidRPr="00BB79FA">
        <w:t>s</w:t>
      </w:r>
      <w:r w:rsidR="001D3659" w:rsidRPr="00BB79FA">
        <w:t xml:space="preserve"> </w:t>
      </w:r>
      <w:r w:rsidR="0005129B" w:rsidRPr="00BB79FA">
        <w:t xml:space="preserve">1.5 and </w:t>
      </w:r>
      <w:r w:rsidR="001D3659" w:rsidRPr="00BB79FA">
        <w:t>1.</w:t>
      </w:r>
      <w:r w:rsidR="00537BC5" w:rsidRPr="00BB79FA">
        <w:t>6</w:t>
      </w:r>
      <w:r w:rsidR="001D3659" w:rsidRPr="00BB79FA">
        <w:t xml:space="preserve"> </w:t>
      </w:r>
      <w:r w:rsidR="00F53362" w:rsidRPr="00BB79FA">
        <w:t xml:space="preserve">and where either: (a) these exposures are not eligible for the </w:t>
      </w:r>
      <w:r w:rsidR="003025B6">
        <w:t>i</w:t>
      </w:r>
      <w:r w:rsidR="00F53362" w:rsidRPr="00BB79FA">
        <w:t xml:space="preserve">nfrastructure </w:t>
      </w:r>
      <w:r w:rsidR="00E505B1">
        <w:t>lending adjustment</w:t>
      </w:r>
      <w:r w:rsidR="00F53362" w:rsidRPr="00BB79FA">
        <w:t xml:space="preserve">, or (b) the firm is </w:t>
      </w:r>
      <w:r w:rsidR="002863DD" w:rsidRPr="00BB79FA">
        <w:t>not seeking to qualify</w:t>
      </w:r>
      <w:r w:rsidR="00F53362" w:rsidRPr="00BB79FA">
        <w:t xml:space="preserve"> for the infrastructure lending adjustment.</w:t>
      </w:r>
    </w:p>
    <w:bookmarkEnd w:id="5"/>
    <w:p w14:paraId="62FCAF92" w14:textId="07C92DE6" w:rsidR="00D56A7F" w:rsidRPr="00BB79FA" w:rsidRDefault="00E06CC8" w:rsidP="00A23969">
      <w:pPr>
        <w:pStyle w:val="Heading2"/>
        <w:numPr>
          <w:ilvl w:val="1"/>
          <w:numId w:val="43"/>
        </w:numPr>
        <w:ind w:left="567" w:hanging="567"/>
      </w:pPr>
      <w:r w:rsidRPr="00BB79FA">
        <w:t xml:space="preserve">Instructions </w:t>
      </w:r>
      <w:r w:rsidR="00D56A7F" w:rsidRPr="00BB79FA">
        <w:t xml:space="preserve">in respect of specific </w:t>
      </w:r>
      <w:r w:rsidR="00CF0F59" w:rsidRPr="00BB79FA">
        <w:t>columns</w:t>
      </w:r>
    </w:p>
    <w:tbl>
      <w:tblPr>
        <w:tblW w:w="8364" w:type="dxa"/>
        <w:tblInd w:w="562" w:type="dxa"/>
        <w:tblLook w:val="04A0" w:firstRow="1" w:lastRow="0" w:firstColumn="1" w:lastColumn="0" w:noHBand="0" w:noVBand="1"/>
      </w:tblPr>
      <w:tblGrid>
        <w:gridCol w:w="709"/>
        <w:gridCol w:w="7655"/>
      </w:tblGrid>
      <w:tr w:rsidR="009A56DE" w:rsidRPr="00BB79FA" w14:paraId="34AE504B" w14:textId="77777777" w:rsidTr="69F6B55A">
        <w:trPr>
          <w:trHeight w:val="1008"/>
        </w:trPr>
        <w:tc>
          <w:tcPr>
            <w:tcW w:w="709" w:type="dxa"/>
            <w:tcBorders>
              <w:top w:val="single" w:sz="4" w:space="0" w:color="auto"/>
              <w:left w:val="single" w:sz="4" w:space="0" w:color="auto"/>
              <w:bottom w:val="single" w:sz="4" w:space="0" w:color="auto"/>
              <w:right w:val="single" w:sz="4" w:space="0" w:color="auto"/>
            </w:tcBorders>
          </w:tcPr>
          <w:p w14:paraId="2ABFEE15" w14:textId="5AFD9A71" w:rsidR="009A56DE" w:rsidRPr="00BB79FA" w:rsidRDefault="009A56DE" w:rsidP="00424287">
            <w:pPr>
              <w:spacing w:after="0" w:line="240" w:lineRule="auto"/>
              <w:rPr>
                <w:rFonts w:ascii="Arial" w:eastAsia="Times New Roman" w:hAnsi="Arial" w:cs="Arial"/>
                <w:b/>
                <w:bCs/>
                <w:kern w:val="0"/>
                <w:lang w:eastAsia="en-GB"/>
                <w14:ligatures w14:val="none"/>
              </w:rPr>
            </w:pPr>
            <w:r w:rsidRPr="00BB79FA">
              <w:rPr>
                <w:rFonts w:ascii="Arial" w:eastAsia="Times New Roman" w:hAnsi="Arial" w:cs="Arial"/>
                <w:kern w:val="0"/>
                <w:lang w:eastAsia="en-GB"/>
                <w14:ligatures w14:val="none"/>
              </w:rPr>
              <w:t>010</w:t>
            </w:r>
          </w:p>
        </w:tc>
        <w:tc>
          <w:tcPr>
            <w:tcW w:w="7655" w:type="dxa"/>
            <w:tcBorders>
              <w:top w:val="single" w:sz="4" w:space="0" w:color="auto"/>
              <w:left w:val="single" w:sz="4" w:space="0" w:color="auto"/>
              <w:bottom w:val="single" w:sz="4" w:space="0" w:color="auto"/>
              <w:right w:val="single" w:sz="4" w:space="0" w:color="auto"/>
            </w:tcBorders>
            <w:hideMark/>
          </w:tcPr>
          <w:p w14:paraId="65D16FA9" w14:textId="77777777" w:rsidR="0005129B" w:rsidRPr="00BB79FA" w:rsidRDefault="009A56DE" w:rsidP="00424287">
            <w:pPr>
              <w:spacing w:after="0" w:line="240" w:lineRule="auto"/>
              <w:rPr>
                <w:rFonts w:ascii="Arial" w:eastAsia="Times New Roman" w:hAnsi="Arial" w:cs="Arial"/>
                <w:b/>
                <w:bCs/>
                <w:kern w:val="0"/>
                <w:lang w:eastAsia="en-GB"/>
                <w14:ligatures w14:val="none"/>
              </w:rPr>
            </w:pPr>
            <w:r w:rsidRPr="00BB79FA">
              <w:rPr>
                <w:rFonts w:ascii="Arial" w:eastAsia="Times New Roman" w:hAnsi="Arial" w:cs="Arial"/>
                <w:b/>
                <w:bCs/>
                <w:kern w:val="0"/>
                <w:lang w:eastAsia="en-GB"/>
                <w14:ligatures w14:val="none"/>
              </w:rPr>
              <w:t xml:space="preserve">Risk-weighted exposure amount </w:t>
            </w:r>
          </w:p>
          <w:p w14:paraId="3EA3882D" w14:textId="75D91902" w:rsidR="009A56DE" w:rsidRPr="00BB79FA" w:rsidRDefault="0005129B" w:rsidP="00424287">
            <w:pPr>
              <w:spacing w:after="0" w:line="240" w:lineRule="auto"/>
              <w:rPr>
                <w:rFonts w:ascii="Arial" w:eastAsia="Times New Roman" w:hAnsi="Arial" w:cs="Arial"/>
                <w:b/>
                <w:bCs/>
                <w:kern w:val="0"/>
                <w:lang w:eastAsia="en-GB"/>
                <w14:ligatures w14:val="none"/>
              </w:rPr>
            </w:pPr>
            <w:r w:rsidRPr="00BB79FA">
              <w:rPr>
                <w:rFonts w:ascii="Arial" w:eastAsia="Times New Roman" w:hAnsi="Arial" w:cs="Arial"/>
                <w:b/>
                <w:bCs/>
                <w:kern w:val="0"/>
                <w:lang w:eastAsia="en-GB"/>
                <w14:ligatures w14:val="none"/>
              </w:rPr>
              <w:t>Of which: unprotect</w:t>
            </w:r>
            <w:r w:rsidR="00755F15">
              <w:rPr>
                <w:rFonts w:ascii="Arial" w:eastAsia="Times New Roman" w:hAnsi="Arial" w:cs="Arial"/>
                <w:b/>
                <w:bCs/>
                <w:kern w:val="0"/>
                <w:lang w:eastAsia="en-GB"/>
                <w14:ligatures w14:val="none"/>
              </w:rPr>
              <w:t>ed</w:t>
            </w:r>
            <w:r w:rsidRPr="00BB79FA">
              <w:rPr>
                <w:rFonts w:ascii="Arial" w:eastAsia="Times New Roman" w:hAnsi="Arial" w:cs="Arial"/>
                <w:b/>
                <w:bCs/>
                <w:kern w:val="0"/>
                <w:lang w:eastAsia="en-GB"/>
                <w14:ligatures w14:val="none"/>
              </w:rPr>
              <w:t xml:space="preserve"> part of the exposure amount</w:t>
            </w:r>
          </w:p>
          <w:p w14:paraId="3C7318E5" w14:textId="77777777" w:rsidR="009A56DE" w:rsidRPr="00BB79FA" w:rsidRDefault="009A56DE" w:rsidP="00424287">
            <w:pPr>
              <w:spacing w:after="0" w:line="240" w:lineRule="auto"/>
              <w:rPr>
                <w:rFonts w:ascii="Arial" w:eastAsia="Times New Roman" w:hAnsi="Arial" w:cs="Arial"/>
                <w:b/>
                <w:bCs/>
                <w:kern w:val="0"/>
                <w:lang w:eastAsia="en-GB"/>
                <w14:ligatures w14:val="none"/>
              </w:rPr>
            </w:pPr>
          </w:p>
          <w:p w14:paraId="344AE969" w14:textId="3D3D87B3" w:rsidR="00C91993" w:rsidRPr="00BB79FA" w:rsidRDefault="00093BD3" w:rsidP="00424287">
            <w:pPr>
              <w:spacing w:after="0" w:line="240" w:lineRule="auto"/>
              <w:rPr>
                <w:rFonts w:ascii="Arial" w:eastAsia="Times New Roman" w:hAnsi="Arial" w:cs="Arial"/>
                <w:kern w:val="0"/>
                <w:lang w:eastAsia="en-GB"/>
                <w14:ligatures w14:val="none"/>
              </w:rPr>
            </w:pPr>
            <w:r w:rsidRPr="00BB79FA">
              <w:rPr>
                <w:rFonts w:ascii="Arial" w:eastAsia="Times New Roman" w:hAnsi="Arial" w:cs="Arial"/>
                <w:kern w:val="0"/>
                <w:lang w:eastAsia="en-GB"/>
                <w14:ligatures w14:val="none"/>
              </w:rPr>
              <w:t xml:space="preserve">RWEAs </w:t>
            </w:r>
            <w:r w:rsidR="00D56425" w:rsidRPr="00BB79FA">
              <w:rPr>
                <w:rFonts w:ascii="Arial" w:eastAsia="Times New Roman" w:hAnsi="Arial" w:cs="Arial"/>
                <w:kern w:val="0"/>
                <w:lang w:eastAsia="en-GB"/>
                <w14:ligatures w14:val="none"/>
              </w:rPr>
              <w:t xml:space="preserve">for exposures which </w:t>
            </w:r>
            <w:r w:rsidR="00296C97" w:rsidRPr="00BB79FA">
              <w:rPr>
                <w:rFonts w:ascii="Arial" w:eastAsia="Times New Roman" w:hAnsi="Arial" w:cs="Arial"/>
                <w:kern w:val="0"/>
                <w:lang w:eastAsia="en-GB"/>
                <w14:ligatures w14:val="none"/>
              </w:rPr>
              <w:t xml:space="preserve">meet the </w:t>
            </w:r>
            <w:r w:rsidR="00730C6D" w:rsidRPr="00BB79FA">
              <w:rPr>
                <w:rFonts w:ascii="Arial" w:eastAsia="Times New Roman" w:hAnsi="Arial" w:cs="Arial"/>
                <w:kern w:val="0"/>
                <w:lang w:eastAsia="en-GB"/>
                <w14:ligatures w14:val="none"/>
              </w:rPr>
              <w:t xml:space="preserve">scope </w:t>
            </w:r>
            <w:r w:rsidR="00296C97" w:rsidRPr="00BB79FA">
              <w:rPr>
                <w:rFonts w:ascii="Arial" w:eastAsia="Times New Roman" w:hAnsi="Arial" w:cs="Arial"/>
                <w:kern w:val="0"/>
                <w:lang w:eastAsia="en-GB"/>
                <w14:ligatures w14:val="none"/>
              </w:rPr>
              <w:t>described in</w:t>
            </w:r>
            <w:r w:rsidR="00730C6D" w:rsidRPr="00BB79FA">
              <w:rPr>
                <w:rFonts w:ascii="Arial" w:eastAsia="Times New Roman" w:hAnsi="Arial" w:cs="Arial"/>
                <w:kern w:val="0"/>
                <w:lang w:eastAsia="en-GB"/>
                <w14:ligatures w14:val="none"/>
              </w:rPr>
              <w:t xml:space="preserve"> paragraph 1.1</w:t>
            </w:r>
            <w:r w:rsidR="002B6560">
              <w:rPr>
                <w:rFonts w:ascii="Arial" w:eastAsia="Times New Roman" w:hAnsi="Arial" w:cs="Arial"/>
                <w:kern w:val="0"/>
                <w:lang w:eastAsia="en-GB"/>
                <w14:ligatures w14:val="none"/>
              </w:rPr>
              <w:t>6</w:t>
            </w:r>
            <w:r w:rsidR="00C91993" w:rsidRPr="00BB79FA">
              <w:rPr>
                <w:rFonts w:ascii="Arial" w:eastAsia="Times New Roman" w:hAnsi="Arial" w:cs="Arial"/>
                <w:kern w:val="0"/>
                <w:lang w:eastAsia="en-GB"/>
                <w14:ligatures w14:val="none"/>
              </w:rPr>
              <w:t>.</w:t>
            </w:r>
          </w:p>
          <w:p w14:paraId="667B8C68" w14:textId="77777777" w:rsidR="00C91993" w:rsidRPr="00BB79FA" w:rsidRDefault="00C91993" w:rsidP="00424287">
            <w:pPr>
              <w:spacing w:after="0" w:line="240" w:lineRule="auto"/>
              <w:rPr>
                <w:rFonts w:ascii="Arial" w:eastAsia="Times New Roman" w:hAnsi="Arial" w:cs="Arial"/>
                <w:kern w:val="0"/>
                <w:lang w:eastAsia="en-GB"/>
                <w14:ligatures w14:val="none"/>
              </w:rPr>
            </w:pPr>
          </w:p>
          <w:p w14:paraId="0D84FB42" w14:textId="36492FD5" w:rsidR="00093BD3" w:rsidRPr="00BB79FA" w:rsidRDefault="00C91993" w:rsidP="00424287">
            <w:pPr>
              <w:spacing w:after="0" w:line="240" w:lineRule="auto"/>
              <w:rPr>
                <w:rFonts w:ascii="Arial" w:eastAsia="Times New Roman" w:hAnsi="Arial" w:cs="Arial"/>
                <w:kern w:val="0"/>
                <w:lang w:eastAsia="en-GB"/>
                <w14:ligatures w14:val="none"/>
              </w:rPr>
            </w:pPr>
            <w:r w:rsidRPr="00BB79FA">
              <w:rPr>
                <w:rFonts w:ascii="Arial" w:eastAsia="Times New Roman" w:hAnsi="Arial" w:cs="Arial"/>
                <w:kern w:val="0"/>
                <w:lang w:eastAsia="en-GB"/>
                <w14:ligatures w14:val="none"/>
              </w:rPr>
              <w:t xml:space="preserve">Only parts of the exposure amount that are unprotected, such that the parts of the exposure amount are not subject to credit risk mitigation techniques under Articles 222, 232, </w:t>
            </w:r>
            <w:r w:rsidR="000B6306">
              <w:rPr>
                <w:rFonts w:ascii="Arial" w:eastAsia="Times New Roman" w:hAnsi="Arial" w:cs="Arial"/>
                <w:kern w:val="0"/>
                <w:lang w:eastAsia="en-GB"/>
                <w14:ligatures w14:val="none"/>
              </w:rPr>
              <w:t xml:space="preserve">and </w:t>
            </w:r>
            <w:r w:rsidRPr="00BB79FA">
              <w:rPr>
                <w:rFonts w:ascii="Arial" w:eastAsia="Times New Roman" w:hAnsi="Arial" w:cs="Arial"/>
                <w:kern w:val="0"/>
                <w:lang w:eastAsia="en-GB"/>
                <w14:ligatures w14:val="none"/>
              </w:rPr>
              <w:t>235 of the Credit Risk Mitigation (CRR) Part, shall be reported here.</w:t>
            </w:r>
          </w:p>
          <w:p w14:paraId="713A03D9" w14:textId="63BC1365" w:rsidR="009A56DE" w:rsidRPr="00BB79FA" w:rsidRDefault="009A56DE" w:rsidP="00424287">
            <w:pPr>
              <w:spacing w:after="0" w:line="240" w:lineRule="auto"/>
              <w:rPr>
                <w:rFonts w:ascii="Arial" w:eastAsia="Times New Roman" w:hAnsi="Arial" w:cs="Arial"/>
                <w:b/>
                <w:bCs/>
                <w:kern w:val="0"/>
                <w:lang w:eastAsia="en-GB"/>
                <w14:ligatures w14:val="none"/>
              </w:rPr>
            </w:pPr>
          </w:p>
        </w:tc>
      </w:tr>
      <w:tr w:rsidR="0005129B" w:rsidRPr="00BB79FA" w14:paraId="33F1D137" w14:textId="77777777" w:rsidTr="69F6B55A">
        <w:trPr>
          <w:trHeight w:val="1008"/>
        </w:trPr>
        <w:tc>
          <w:tcPr>
            <w:tcW w:w="709" w:type="dxa"/>
            <w:tcBorders>
              <w:top w:val="single" w:sz="4" w:space="0" w:color="auto"/>
              <w:left w:val="single" w:sz="4" w:space="0" w:color="auto"/>
              <w:bottom w:val="single" w:sz="4" w:space="0" w:color="auto"/>
              <w:right w:val="single" w:sz="4" w:space="0" w:color="auto"/>
            </w:tcBorders>
          </w:tcPr>
          <w:p w14:paraId="379DF65B" w14:textId="2ED7FB2B" w:rsidR="0005129B" w:rsidRPr="00BB79FA" w:rsidRDefault="0005129B" w:rsidP="00424287">
            <w:pPr>
              <w:spacing w:after="0" w:line="240" w:lineRule="auto"/>
              <w:rPr>
                <w:rFonts w:ascii="Arial" w:eastAsia="Times New Roman" w:hAnsi="Arial" w:cs="Arial"/>
                <w:kern w:val="0"/>
                <w:lang w:eastAsia="en-GB"/>
                <w14:ligatures w14:val="none"/>
              </w:rPr>
            </w:pPr>
            <w:r w:rsidRPr="00BB79FA">
              <w:rPr>
                <w:rFonts w:ascii="Arial" w:eastAsia="Times New Roman" w:hAnsi="Arial" w:cs="Arial"/>
                <w:kern w:val="0"/>
                <w:lang w:eastAsia="en-GB"/>
                <w14:ligatures w14:val="none"/>
              </w:rPr>
              <w:t>020</w:t>
            </w:r>
          </w:p>
        </w:tc>
        <w:tc>
          <w:tcPr>
            <w:tcW w:w="7655" w:type="dxa"/>
            <w:tcBorders>
              <w:top w:val="single" w:sz="4" w:space="0" w:color="auto"/>
              <w:left w:val="single" w:sz="4" w:space="0" w:color="auto"/>
              <w:bottom w:val="single" w:sz="4" w:space="0" w:color="auto"/>
              <w:right w:val="single" w:sz="4" w:space="0" w:color="auto"/>
            </w:tcBorders>
          </w:tcPr>
          <w:p w14:paraId="42FB4116" w14:textId="77777777" w:rsidR="0005129B" w:rsidRPr="00BB79FA" w:rsidRDefault="0005129B" w:rsidP="0005129B">
            <w:pPr>
              <w:spacing w:after="0" w:line="240" w:lineRule="auto"/>
              <w:rPr>
                <w:rFonts w:ascii="Arial" w:eastAsia="Times New Roman" w:hAnsi="Arial" w:cs="Arial"/>
                <w:b/>
                <w:bCs/>
                <w:kern w:val="0"/>
                <w:lang w:eastAsia="en-GB"/>
                <w14:ligatures w14:val="none"/>
              </w:rPr>
            </w:pPr>
            <w:r w:rsidRPr="00BB79FA">
              <w:rPr>
                <w:rFonts w:ascii="Arial" w:eastAsia="Times New Roman" w:hAnsi="Arial" w:cs="Arial"/>
                <w:b/>
                <w:bCs/>
                <w:kern w:val="0"/>
                <w:lang w:eastAsia="en-GB"/>
                <w14:ligatures w14:val="none"/>
              </w:rPr>
              <w:t xml:space="preserve">Risk-weighted exposure amount </w:t>
            </w:r>
          </w:p>
          <w:p w14:paraId="438D0907" w14:textId="77777777" w:rsidR="0005129B" w:rsidRPr="00BB79FA" w:rsidRDefault="0005129B" w:rsidP="0005129B">
            <w:pPr>
              <w:spacing w:after="0" w:line="240" w:lineRule="auto"/>
              <w:rPr>
                <w:rFonts w:ascii="Arial" w:eastAsia="Times New Roman" w:hAnsi="Arial" w:cs="Arial"/>
                <w:b/>
                <w:bCs/>
                <w:kern w:val="0"/>
                <w:lang w:eastAsia="en-GB"/>
                <w14:ligatures w14:val="none"/>
              </w:rPr>
            </w:pPr>
            <w:r w:rsidRPr="00BB79FA">
              <w:rPr>
                <w:rFonts w:ascii="Arial" w:eastAsia="Times New Roman" w:hAnsi="Arial" w:cs="Arial"/>
                <w:b/>
                <w:bCs/>
                <w:kern w:val="0"/>
                <w:lang w:eastAsia="en-GB"/>
                <w14:ligatures w14:val="none"/>
              </w:rPr>
              <w:t>Of which: protected part of the exposure amount</w:t>
            </w:r>
          </w:p>
          <w:p w14:paraId="00E9B626" w14:textId="77777777" w:rsidR="0005129B" w:rsidRPr="00BB79FA" w:rsidRDefault="0005129B" w:rsidP="0005129B">
            <w:pPr>
              <w:spacing w:after="0" w:line="240" w:lineRule="auto"/>
              <w:rPr>
                <w:rFonts w:ascii="Arial" w:eastAsia="Times New Roman" w:hAnsi="Arial" w:cs="Arial"/>
                <w:b/>
                <w:bCs/>
                <w:kern w:val="0"/>
                <w:lang w:eastAsia="en-GB"/>
                <w14:ligatures w14:val="none"/>
              </w:rPr>
            </w:pPr>
          </w:p>
          <w:p w14:paraId="6FEF7458" w14:textId="5EE77FE1" w:rsidR="00C91993" w:rsidRPr="00BB79FA" w:rsidRDefault="00C91993" w:rsidP="00C91993">
            <w:pPr>
              <w:spacing w:after="0" w:line="240" w:lineRule="auto"/>
              <w:rPr>
                <w:rFonts w:ascii="Arial" w:eastAsia="Times New Roman" w:hAnsi="Arial" w:cs="Arial"/>
                <w:kern w:val="0"/>
                <w:lang w:eastAsia="en-GB"/>
                <w14:ligatures w14:val="none"/>
              </w:rPr>
            </w:pPr>
            <w:r w:rsidRPr="00BB79FA">
              <w:rPr>
                <w:rFonts w:ascii="Arial" w:eastAsia="Times New Roman" w:hAnsi="Arial" w:cs="Arial"/>
                <w:kern w:val="0"/>
                <w:lang w:eastAsia="en-GB"/>
                <w14:ligatures w14:val="none"/>
              </w:rPr>
              <w:t>RWEAs for exposures which meet the scope described in paragraph 1.1</w:t>
            </w:r>
            <w:r w:rsidR="002B6560">
              <w:rPr>
                <w:rFonts w:ascii="Arial" w:eastAsia="Times New Roman" w:hAnsi="Arial" w:cs="Arial"/>
                <w:kern w:val="0"/>
                <w:lang w:eastAsia="en-GB"/>
                <w14:ligatures w14:val="none"/>
              </w:rPr>
              <w:t>6</w:t>
            </w:r>
            <w:r w:rsidRPr="00BB79FA">
              <w:rPr>
                <w:rFonts w:ascii="Arial" w:eastAsia="Times New Roman" w:hAnsi="Arial" w:cs="Arial"/>
                <w:kern w:val="0"/>
                <w:lang w:eastAsia="en-GB"/>
                <w14:ligatures w14:val="none"/>
              </w:rPr>
              <w:t>.</w:t>
            </w:r>
          </w:p>
          <w:p w14:paraId="504F366D" w14:textId="77777777" w:rsidR="00C91993" w:rsidRPr="00BB79FA" w:rsidRDefault="00C91993" w:rsidP="00C91993">
            <w:pPr>
              <w:spacing w:after="0" w:line="240" w:lineRule="auto"/>
              <w:rPr>
                <w:rFonts w:ascii="Arial" w:eastAsia="Times New Roman" w:hAnsi="Arial" w:cs="Arial"/>
                <w:kern w:val="0"/>
                <w:lang w:eastAsia="en-GB"/>
                <w14:ligatures w14:val="none"/>
              </w:rPr>
            </w:pPr>
          </w:p>
          <w:p w14:paraId="5472AC65" w14:textId="1E85DA54" w:rsidR="00C91993" w:rsidRPr="00BB79FA" w:rsidRDefault="00C91993" w:rsidP="00C91993">
            <w:pPr>
              <w:spacing w:after="0" w:line="240" w:lineRule="auto"/>
              <w:rPr>
                <w:rFonts w:ascii="Arial" w:eastAsia="Times New Roman" w:hAnsi="Arial" w:cs="Arial"/>
                <w:kern w:val="0"/>
                <w:lang w:eastAsia="en-GB"/>
                <w14:ligatures w14:val="none"/>
              </w:rPr>
            </w:pPr>
            <w:r w:rsidRPr="00BB79FA">
              <w:rPr>
                <w:rFonts w:ascii="Arial" w:eastAsia="Times New Roman" w:hAnsi="Arial" w:cs="Arial"/>
                <w:kern w:val="0"/>
                <w:lang w:eastAsia="en-GB"/>
                <w14:ligatures w14:val="none"/>
              </w:rPr>
              <w:t xml:space="preserve">Only parts of the exposure amount that are protected, such that the parts of the exposure amount are subject to credit risk mitigation techniques under Articles 222, 232, </w:t>
            </w:r>
            <w:r w:rsidR="000B6306">
              <w:rPr>
                <w:rFonts w:ascii="Arial" w:eastAsia="Times New Roman" w:hAnsi="Arial" w:cs="Arial"/>
                <w:kern w:val="0"/>
                <w:lang w:eastAsia="en-GB"/>
                <w14:ligatures w14:val="none"/>
              </w:rPr>
              <w:t xml:space="preserve">and </w:t>
            </w:r>
            <w:r w:rsidRPr="00BB79FA">
              <w:rPr>
                <w:rFonts w:ascii="Arial" w:eastAsia="Times New Roman" w:hAnsi="Arial" w:cs="Arial"/>
                <w:kern w:val="0"/>
                <w:lang w:eastAsia="en-GB"/>
                <w14:ligatures w14:val="none"/>
              </w:rPr>
              <w:t>235</w:t>
            </w:r>
            <w:r w:rsidR="000B6306">
              <w:rPr>
                <w:rFonts w:ascii="Arial" w:eastAsia="Times New Roman" w:hAnsi="Arial" w:cs="Arial"/>
                <w:kern w:val="0"/>
                <w:lang w:eastAsia="en-GB"/>
                <w14:ligatures w14:val="none"/>
              </w:rPr>
              <w:t xml:space="preserve"> </w:t>
            </w:r>
            <w:r w:rsidRPr="00BB79FA">
              <w:rPr>
                <w:rFonts w:ascii="Arial" w:eastAsia="Times New Roman" w:hAnsi="Arial" w:cs="Arial"/>
                <w:kern w:val="0"/>
                <w:lang w:eastAsia="en-GB"/>
                <w14:ligatures w14:val="none"/>
              </w:rPr>
              <w:t>of the Credit Risk Mitigation (CRR) Part, shall be reported here.</w:t>
            </w:r>
          </w:p>
          <w:p w14:paraId="4200CE29" w14:textId="02E2C023" w:rsidR="00C91993" w:rsidRPr="00BB79FA" w:rsidRDefault="00C91993" w:rsidP="0005129B">
            <w:pPr>
              <w:spacing w:after="0" w:line="240" w:lineRule="auto"/>
              <w:rPr>
                <w:rFonts w:ascii="Arial" w:eastAsia="Times New Roman" w:hAnsi="Arial" w:cs="Arial"/>
                <w:b/>
                <w:bCs/>
                <w:kern w:val="0"/>
                <w:lang w:eastAsia="en-GB"/>
                <w14:ligatures w14:val="none"/>
              </w:rPr>
            </w:pPr>
          </w:p>
        </w:tc>
      </w:tr>
      <w:tr w:rsidR="009A56DE" w:rsidRPr="00BB79FA" w14:paraId="7185606F" w14:textId="77777777" w:rsidTr="69F6B55A">
        <w:trPr>
          <w:trHeight w:val="276"/>
        </w:trPr>
        <w:tc>
          <w:tcPr>
            <w:tcW w:w="709" w:type="dxa"/>
            <w:tcBorders>
              <w:top w:val="nil"/>
              <w:left w:val="single" w:sz="4" w:space="0" w:color="auto"/>
              <w:bottom w:val="single" w:sz="4" w:space="0" w:color="auto"/>
              <w:right w:val="single" w:sz="4" w:space="0" w:color="auto"/>
            </w:tcBorders>
          </w:tcPr>
          <w:p w14:paraId="41446DBA" w14:textId="16791C45" w:rsidR="009A56DE" w:rsidRPr="00BB79FA" w:rsidRDefault="009A56DE" w:rsidP="00424287">
            <w:pPr>
              <w:spacing w:after="0" w:line="240" w:lineRule="auto"/>
              <w:rPr>
                <w:rFonts w:ascii="Arial" w:eastAsia="Times New Roman" w:hAnsi="Arial" w:cs="Arial"/>
                <w:b/>
                <w:bCs/>
                <w:kern w:val="0"/>
                <w:lang w:eastAsia="en-GB"/>
                <w14:ligatures w14:val="none"/>
              </w:rPr>
            </w:pPr>
            <w:r w:rsidRPr="00BB79FA">
              <w:rPr>
                <w:rFonts w:ascii="Arial" w:eastAsia="Times New Roman" w:hAnsi="Arial" w:cs="Arial"/>
                <w:kern w:val="0"/>
                <w:lang w:eastAsia="en-GB"/>
                <w14:ligatures w14:val="none"/>
              </w:rPr>
              <w:t>0</w:t>
            </w:r>
            <w:r w:rsidR="0005129B" w:rsidRPr="00BB79FA">
              <w:rPr>
                <w:rFonts w:ascii="Arial" w:eastAsia="Times New Roman" w:hAnsi="Arial" w:cs="Arial"/>
                <w:kern w:val="0"/>
                <w:lang w:eastAsia="en-GB"/>
                <w14:ligatures w14:val="none"/>
              </w:rPr>
              <w:t>3</w:t>
            </w:r>
            <w:r w:rsidRPr="00BB79FA">
              <w:rPr>
                <w:rFonts w:ascii="Arial" w:eastAsia="Times New Roman" w:hAnsi="Arial" w:cs="Arial"/>
                <w:kern w:val="0"/>
                <w:lang w:eastAsia="en-GB"/>
                <w14:ligatures w14:val="none"/>
              </w:rPr>
              <w:t>0</w:t>
            </w:r>
          </w:p>
        </w:tc>
        <w:tc>
          <w:tcPr>
            <w:tcW w:w="7655" w:type="dxa"/>
            <w:tcBorders>
              <w:top w:val="nil"/>
              <w:left w:val="single" w:sz="4" w:space="0" w:color="auto"/>
              <w:bottom w:val="single" w:sz="4" w:space="0" w:color="auto"/>
              <w:right w:val="single" w:sz="4" w:space="0" w:color="auto"/>
            </w:tcBorders>
            <w:hideMark/>
          </w:tcPr>
          <w:p w14:paraId="4FCB7C8E" w14:textId="020604BF" w:rsidR="009A56DE" w:rsidRPr="00BB79FA" w:rsidRDefault="009A56DE" w:rsidP="00424287">
            <w:pPr>
              <w:spacing w:after="0" w:line="240" w:lineRule="auto"/>
              <w:rPr>
                <w:rFonts w:ascii="Arial" w:eastAsia="Times New Roman" w:hAnsi="Arial" w:cs="Arial"/>
                <w:b/>
                <w:bCs/>
                <w:kern w:val="0"/>
                <w:lang w:eastAsia="en-GB"/>
                <w14:ligatures w14:val="none"/>
              </w:rPr>
            </w:pPr>
            <w:r w:rsidRPr="00BB79FA">
              <w:rPr>
                <w:rFonts w:ascii="Arial" w:eastAsia="Times New Roman" w:hAnsi="Arial" w:cs="Arial"/>
                <w:b/>
                <w:bCs/>
                <w:kern w:val="0"/>
                <w:lang w:eastAsia="en-GB"/>
                <w14:ligatures w14:val="none"/>
              </w:rPr>
              <w:t>Weighted average SME F</w:t>
            </w:r>
            <w:r w:rsidR="001F7E0C">
              <w:rPr>
                <w:rFonts w:ascii="Arial" w:eastAsia="Times New Roman" w:hAnsi="Arial" w:cs="Arial"/>
                <w:b/>
                <w:bCs/>
                <w:kern w:val="0"/>
                <w:lang w:eastAsia="en-GB"/>
                <w14:ligatures w14:val="none"/>
              </w:rPr>
              <w:t>actor</w:t>
            </w:r>
          </w:p>
          <w:p w14:paraId="6EEA070C" w14:textId="77777777" w:rsidR="009A56DE" w:rsidRPr="00BB79FA" w:rsidRDefault="009A56DE" w:rsidP="00424287">
            <w:pPr>
              <w:spacing w:after="0" w:line="240" w:lineRule="auto"/>
              <w:rPr>
                <w:rFonts w:ascii="Arial" w:eastAsia="Times New Roman" w:hAnsi="Arial" w:cs="Arial"/>
                <w:b/>
                <w:bCs/>
                <w:kern w:val="0"/>
                <w:lang w:eastAsia="en-GB"/>
                <w14:ligatures w14:val="none"/>
              </w:rPr>
            </w:pPr>
          </w:p>
          <w:p w14:paraId="1E4B1721" w14:textId="52C54DF9" w:rsidR="009A56DE" w:rsidRPr="00BB79FA" w:rsidRDefault="00D61218" w:rsidP="005E746E">
            <w:pPr>
              <w:pStyle w:val="Heading2"/>
              <w:rPr>
                <w:lang w:eastAsia="en-GB"/>
              </w:rPr>
            </w:pPr>
            <w:r w:rsidRPr="00BB79FA">
              <w:rPr>
                <w:lang w:eastAsia="en-GB"/>
              </w:rPr>
              <w:t>For</w:t>
            </w:r>
            <w:r w:rsidRPr="00BB79FA">
              <w:rPr>
                <w:rFonts w:eastAsia="Times New Roman"/>
                <w:kern w:val="0"/>
                <w:lang w:eastAsia="en-GB"/>
                <w14:ligatures w14:val="none"/>
              </w:rPr>
              <w:t xml:space="preserve"> exposures </w:t>
            </w:r>
            <w:r w:rsidR="00296C97" w:rsidRPr="00BB79FA">
              <w:rPr>
                <w:rFonts w:eastAsia="Times New Roman"/>
                <w:kern w:val="0"/>
                <w:lang w:eastAsia="en-GB"/>
                <w14:ligatures w14:val="none"/>
              </w:rPr>
              <w:t>which meet the</w:t>
            </w:r>
            <w:r w:rsidR="001D3659" w:rsidRPr="00BB79FA">
              <w:rPr>
                <w:rFonts w:eastAsia="Times New Roman"/>
                <w:kern w:val="0"/>
                <w:lang w:eastAsia="en-GB"/>
                <w14:ligatures w14:val="none"/>
              </w:rPr>
              <w:t xml:space="preserve"> scope of paragraph </w:t>
            </w:r>
            <w:r w:rsidRPr="00BB79FA">
              <w:rPr>
                <w:rFonts w:eastAsia="Times New Roman"/>
                <w:kern w:val="0"/>
                <w:lang w:eastAsia="en-GB"/>
                <w14:ligatures w14:val="none"/>
              </w:rPr>
              <w:t>1</w:t>
            </w:r>
            <w:r w:rsidR="001D3659" w:rsidRPr="00BB79FA">
              <w:rPr>
                <w:rFonts w:eastAsia="Times New Roman"/>
                <w:kern w:val="0"/>
                <w:lang w:eastAsia="en-GB"/>
                <w14:ligatures w14:val="none"/>
              </w:rPr>
              <w:t>.1</w:t>
            </w:r>
            <w:r w:rsidR="002B6560">
              <w:rPr>
                <w:rFonts w:eastAsia="Times New Roman"/>
                <w:kern w:val="0"/>
                <w:lang w:eastAsia="en-GB"/>
                <w14:ligatures w14:val="none"/>
              </w:rPr>
              <w:t>6</w:t>
            </w:r>
            <w:r w:rsidRPr="00BB79FA">
              <w:rPr>
                <w:rFonts w:eastAsia="Times New Roman"/>
                <w:kern w:val="0"/>
                <w:lang w:eastAsia="en-GB"/>
                <w14:ligatures w14:val="none"/>
              </w:rPr>
              <w:t xml:space="preserve">, calculate the weighted average SME </w:t>
            </w:r>
            <w:r w:rsidR="00CA2DA0">
              <w:rPr>
                <w:rFonts w:eastAsia="Times New Roman"/>
                <w:kern w:val="0"/>
                <w:lang w:eastAsia="en-GB"/>
                <w14:ligatures w14:val="none"/>
              </w:rPr>
              <w:t>F</w:t>
            </w:r>
            <w:r w:rsidRPr="00BB79FA">
              <w:rPr>
                <w:rFonts w:eastAsia="Times New Roman"/>
                <w:kern w:val="0"/>
                <w:lang w:eastAsia="en-GB"/>
                <w14:ligatures w14:val="none"/>
              </w:rPr>
              <w:t>actor for t</w:t>
            </w:r>
            <w:r w:rsidR="001D3659" w:rsidRPr="00BB79FA">
              <w:rPr>
                <w:rFonts w:eastAsia="Times New Roman"/>
                <w:kern w:val="0"/>
                <w:lang w:eastAsia="en-GB"/>
                <w14:ligatures w14:val="none"/>
              </w:rPr>
              <w:t>hose exposures</w:t>
            </w:r>
            <w:r w:rsidR="00296C97" w:rsidRPr="00BB79FA">
              <w:rPr>
                <w:rFonts w:eastAsia="Times New Roman"/>
                <w:kern w:val="0"/>
                <w:lang w:eastAsia="en-GB"/>
                <w14:ligatures w14:val="none"/>
              </w:rPr>
              <w:t xml:space="preserve"> (weighted by RWEA), using the formula for the SME </w:t>
            </w:r>
            <w:r w:rsidR="00CA2DA0">
              <w:rPr>
                <w:rFonts w:eastAsia="Times New Roman"/>
                <w:kern w:val="0"/>
                <w:lang w:eastAsia="en-GB"/>
                <w14:ligatures w14:val="none"/>
              </w:rPr>
              <w:t>F</w:t>
            </w:r>
            <w:r w:rsidR="00296C97" w:rsidRPr="00BB79FA">
              <w:rPr>
                <w:rFonts w:eastAsia="Times New Roman"/>
                <w:kern w:val="0"/>
                <w:lang w:eastAsia="en-GB"/>
                <w14:ligatures w14:val="none"/>
              </w:rPr>
              <w:t>actor in paragraph 1.</w:t>
            </w:r>
            <w:r w:rsidR="00C91993" w:rsidRPr="00BB79FA">
              <w:rPr>
                <w:rFonts w:eastAsia="Times New Roman"/>
                <w:kern w:val="0"/>
                <w:lang w:eastAsia="en-GB"/>
                <w14:ligatures w14:val="none"/>
              </w:rPr>
              <w:t>6</w:t>
            </w:r>
            <w:r w:rsidRPr="00BB79FA">
              <w:rPr>
                <w:rFonts w:eastAsia="Times New Roman"/>
                <w:kern w:val="0"/>
                <w:lang w:eastAsia="en-GB"/>
                <w14:ligatures w14:val="none"/>
              </w:rPr>
              <w:t xml:space="preserve">. </w:t>
            </w:r>
          </w:p>
        </w:tc>
      </w:tr>
      <w:tr w:rsidR="009A56DE" w:rsidRPr="00BB79FA" w14:paraId="0384812D" w14:textId="77777777" w:rsidTr="69F6B55A">
        <w:trPr>
          <w:trHeight w:val="1104"/>
        </w:trPr>
        <w:tc>
          <w:tcPr>
            <w:tcW w:w="709" w:type="dxa"/>
            <w:tcBorders>
              <w:top w:val="nil"/>
              <w:left w:val="single" w:sz="4" w:space="0" w:color="auto"/>
              <w:bottom w:val="single" w:sz="4" w:space="0" w:color="auto"/>
              <w:right w:val="single" w:sz="4" w:space="0" w:color="auto"/>
            </w:tcBorders>
          </w:tcPr>
          <w:p w14:paraId="04AF61D4" w14:textId="74CAF41D" w:rsidR="009A56DE" w:rsidRPr="00BB79FA" w:rsidRDefault="009A56DE" w:rsidP="00424287">
            <w:pPr>
              <w:spacing w:after="0" w:line="240" w:lineRule="auto"/>
              <w:rPr>
                <w:rFonts w:ascii="Arial" w:eastAsia="Times New Roman" w:hAnsi="Arial" w:cs="Arial"/>
                <w:b/>
                <w:bCs/>
                <w:kern w:val="0"/>
                <w:lang w:eastAsia="en-GB"/>
                <w14:ligatures w14:val="none"/>
              </w:rPr>
            </w:pPr>
            <w:r w:rsidRPr="00BB79FA">
              <w:rPr>
                <w:rFonts w:ascii="Arial" w:eastAsia="Times New Roman" w:hAnsi="Arial" w:cs="Arial"/>
                <w:kern w:val="0"/>
                <w:lang w:eastAsia="en-GB"/>
                <w14:ligatures w14:val="none"/>
              </w:rPr>
              <w:t>100</w:t>
            </w:r>
          </w:p>
        </w:tc>
        <w:tc>
          <w:tcPr>
            <w:tcW w:w="7655" w:type="dxa"/>
            <w:tcBorders>
              <w:top w:val="nil"/>
              <w:left w:val="single" w:sz="4" w:space="0" w:color="auto"/>
              <w:bottom w:val="single" w:sz="4" w:space="0" w:color="auto"/>
              <w:right w:val="single" w:sz="4" w:space="0" w:color="auto"/>
            </w:tcBorders>
            <w:hideMark/>
          </w:tcPr>
          <w:p w14:paraId="37F15E45" w14:textId="77777777" w:rsidR="009A56DE" w:rsidRPr="00BB79FA" w:rsidRDefault="009A56DE" w:rsidP="00424287">
            <w:pPr>
              <w:spacing w:after="0" w:line="240" w:lineRule="auto"/>
              <w:rPr>
                <w:rFonts w:ascii="Arial" w:eastAsia="Times New Roman" w:hAnsi="Arial" w:cs="Arial"/>
                <w:b/>
                <w:bCs/>
                <w:kern w:val="0"/>
                <w:lang w:eastAsia="en-GB"/>
                <w14:ligatures w14:val="none"/>
              </w:rPr>
            </w:pPr>
            <w:r w:rsidRPr="00BB79FA">
              <w:rPr>
                <w:rFonts w:ascii="Arial" w:eastAsia="Times New Roman" w:hAnsi="Arial" w:cs="Arial"/>
                <w:b/>
                <w:bCs/>
                <w:kern w:val="0"/>
                <w:lang w:eastAsia="en-GB"/>
                <w14:ligatures w14:val="none"/>
              </w:rPr>
              <w:t>Qualitative information on any comments/assumptions (Optional)</w:t>
            </w:r>
          </w:p>
          <w:p w14:paraId="231B05AC" w14:textId="77777777" w:rsidR="009A56DE" w:rsidRPr="00BB79FA" w:rsidRDefault="009A56DE" w:rsidP="00424287">
            <w:pPr>
              <w:spacing w:after="0" w:line="240" w:lineRule="auto"/>
              <w:rPr>
                <w:rFonts w:ascii="Arial" w:eastAsia="Times New Roman" w:hAnsi="Arial" w:cs="Arial"/>
                <w:b/>
                <w:bCs/>
                <w:kern w:val="0"/>
                <w:lang w:eastAsia="en-GB"/>
                <w14:ligatures w14:val="none"/>
              </w:rPr>
            </w:pPr>
          </w:p>
          <w:p w14:paraId="773B9ACD" w14:textId="47B8B230" w:rsidR="009A56DE" w:rsidRPr="00BB79FA" w:rsidRDefault="00C52BA1" w:rsidP="00424287">
            <w:pPr>
              <w:spacing w:after="0" w:line="240" w:lineRule="auto"/>
              <w:rPr>
                <w:rFonts w:ascii="Arial" w:eastAsia="Times New Roman" w:hAnsi="Arial" w:cs="Arial"/>
                <w:kern w:val="0"/>
                <w:lang w:eastAsia="en-GB"/>
                <w14:ligatures w14:val="none"/>
              </w:rPr>
            </w:pPr>
            <w:r w:rsidRPr="00BB79FA">
              <w:rPr>
                <w:rFonts w:ascii="Arial" w:eastAsia="Times New Roman" w:hAnsi="Arial" w:cs="Arial"/>
                <w:kern w:val="0"/>
                <w:lang w:eastAsia="en-GB"/>
                <w14:ligatures w14:val="none"/>
              </w:rPr>
              <w:t xml:space="preserve">Free text field for the optional provision of additional relevant interpretative information relating to </w:t>
            </w:r>
            <w:r w:rsidR="00FD6792" w:rsidRPr="00BB79FA">
              <w:rPr>
                <w:rFonts w:ascii="Arial" w:eastAsia="Times New Roman" w:hAnsi="Arial" w:cs="Arial"/>
                <w:kern w:val="0"/>
                <w:lang w:eastAsia="en-GB"/>
                <w14:ligatures w14:val="none"/>
              </w:rPr>
              <w:t>data</w:t>
            </w:r>
            <w:r w:rsidR="00D41E2A" w:rsidRPr="00BB79FA">
              <w:rPr>
                <w:rFonts w:ascii="Arial" w:eastAsia="Times New Roman" w:hAnsi="Arial" w:cs="Arial"/>
                <w:kern w:val="0"/>
                <w:lang w:eastAsia="en-GB"/>
                <w14:ligatures w14:val="none"/>
              </w:rPr>
              <w:t xml:space="preserve"> provided</w:t>
            </w:r>
            <w:r w:rsidR="00FD6792" w:rsidRPr="00BB79FA">
              <w:rPr>
                <w:rFonts w:ascii="Arial" w:eastAsia="Times New Roman" w:hAnsi="Arial" w:cs="Arial"/>
                <w:kern w:val="0"/>
                <w:lang w:eastAsia="en-GB"/>
                <w14:ligatures w14:val="none"/>
              </w:rPr>
              <w:t xml:space="preserve"> in columns 010 and 020.</w:t>
            </w:r>
          </w:p>
          <w:p w14:paraId="24D173D8" w14:textId="0BC986C8" w:rsidR="00D41E2A" w:rsidRPr="00BB79FA" w:rsidRDefault="00D41E2A" w:rsidP="00424287">
            <w:pPr>
              <w:spacing w:after="0" w:line="240" w:lineRule="auto"/>
              <w:rPr>
                <w:rFonts w:ascii="Arial" w:eastAsia="Times New Roman" w:hAnsi="Arial" w:cs="Arial"/>
                <w:kern w:val="0"/>
                <w:lang w:eastAsia="en-GB"/>
                <w14:ligatures w14:val="none"/>
              </w:rPr>
            </w:pPr>
          </w:p>
        </w:tc>
      </w:tr>
    </w:tbl>
    <w:p w14:paraId="4246943D" w14:textId="05A95DE4" w:rsidR="00424287" w:rsidRPr="00BB79FA" w:rsidRDefault="00424287" w:rsidP="001F70EA">
      <w:pPr>
        <w:pStyle w:val="Heading2"/>
        <w:numPr>
          <w:ilvl w:val="1"/>
          <w:numId w:val="43"/>
        </w:numPr>
        <w:spacing w:before="120"/>
        <w:ind w:left="567" w:hanging="567"/>
      </w:pPr>
      <w:r w:rsidRPr="00BB79FA">
        <w:t>Instructions in respect of specific rows</w:t>
      </w:r>
    </w:p>
    <w:tbl>
      <w:tblPr>
        <w:tblW w:w="8405" w:type="dxa"/>
        <w:tblInd w:w="562" w:type="dxa"/>
        <w:tblLook w:val="04A0" w:firstRow="1" w:lastRow="0" w:firstColumn="1" w:lastColumn="0" w:noHBand="0" w:noVBand="1"/>
      </w:tblPr>
      <w:tblGrid>
        <w:gridCol w:w="750"/>
        <w:gridCol w:w="7655"/>
      </w:tblGrid>
      <w:tr w:rsidR="00686F3A" w:rsidRPr="00BB79FA" w14:paraId="26238A9B" w14:textId="77777777" w:rsidTr="005E746E">
        <w:trPr>
          <w:trHeight w:val="276"/>
        </w:trPr>
        <w:tc>
          <w:tcPr>
            <w:tcW w:w="75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DFF285B" w14:textId="777777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100</w:t>
            </w:r>
          </w:p>
        </w:tc>
        <w:tc>
          <w:tcPr>
            <w:tcW w:w="7655" w:type="dxa"/>
            <w:tcBorders>
              <w:top w:val="single" w:sz="4" w:space="0" w:color="auto"/>
              <w:left w:val="nil"/>
              <w:bottom w:val="single" w:sz="4" w:space="0" w:color="auto"/>
              <w:right w:val="single" w:sz="4" w:space="0" w:color="auto"/>
            </w:tcBorders>
            <w:noWrap/>
            <w:hideMark/>
          </w:tcPr>
          <w:p w14:paraId="3F39664F" w14:textId="45AD759F" w:rsidR="00686F3A" w:rsidRPr="00BB79FA" w:rsidRDefault="00686F3A" w:rsidP="00686F3A">
            <w:pPr>
              <w:spacing w:after="0" w:line="240" w:lineRule="auto"/>
              <w:rPr>
                <w:rFonts w:ascii="Arial" w:eastAsia="Arial" w:hAnsi="Arial" w:cs="Arial"/>
                <w:b/>
                <w:color w:val="000000"/>
                <w:kern w:val="0"/>
                <w:u w:val="single"/>
                <w:lang w:eastAsia="en-GB"/>
                <w14:ligatures w14:val="none"/>
              </w:rPr>
            </w:pPr>
            <w:r w:rsidRPr="00BB79FA">
              <w:rPr>
                <w:rFonts w:ascii="Arial" w:eastAsia="Arial" w:hAnsi="Arial" w:cs="Arial"/>
                <w:b/>
                <w:color w:val="000000"/>
                <w:kern w:val="0"/>
                <w:u w:val="single"/>
                <w:lang w:eastAsia="en-GB"/>
                <w14:ligatures w14:val="none"/>
              </w:rPr>
              <w:t>Total risk exposure amount subject to SME F</w:t>
            </w:r>
            <w:r w:rsidR="00A24722">
              <w:rPr>
                <w:rFonts w:ascii="Arial" w:eastAsia="Arial" w:hAnsi="Arial" w:cs="Arial"/>
                <w:b/>
                <w:color w:val="000000"/>
                <w:kern w:val="0"/>
                <w:u w:val="single"/>
                <w:lang w:eastAsia="en-GB"/>
                <w14:ligatures w14:val="none"/>
              </w:rPr>
              <w:t>actor</w:t>
            </w:r>
          </w:p>
          <w:p w14:paraId="390EE308" w14:textId="77777777" w:rsidR="000C63C6" w:rsidRPr="00BB79FA" w:rsidRDefault="000C63C6" w:rsidP="00686F3A">
            <w:pPr>
              <w:spacing w:after="0" w:line="240" w:lineRule="auto"/>
              <w:rPr>
                <w:rFonts w:ascii="Arial" w:eastAsia="Arial" w:hAnsi="Arial" w:cs="Arial"/>
                <w:b/>
                <w:color w:val="000000"/>
                <w:kern w:val="0"/>
                <w:lang w:eastAsia="en-GB"/>
                <w14:ligatures w14:val="none"/>
              </w:rPr>
            </w:pPr>
          </w:p>
          <w:p w14:paraId="5EED1D76" w14:textId="3CE1EE7B" w:rsidR="0081771C" w:rsidRPr="00BB79FA" w:rsidRDefault="00193C56" w:rsidP="00193C56">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Sub-total </w:t>
            </w:r>
            <w:r w:rsidR="00494FCD" w:rsidRPr="00BB79FA">
              <w:rPr>
                <w:rFonts w:ascii="Arial" w:eastAsia="Arial" w:hAnsi="Arial" w:cs="Arial"/>
                <w:i/>
                <w:color w:val="000000" w:themeColor="text1"/>
                <w:lang w:eastAsia="en-GB"/>
              </w:rPr>
              <w:t xml:space="preserve">of </w:t>
            </w:r>
            <w:r w:rsidRPr="00BB79FA">
              <w:rPr>
                <w:rFonts w:ascii="Arial" w:eastAsia="Arial" w:hAnsi="Arial" w:cs="Arial"/>
                <w:i/>
                <w:color w:val="000000" w:themeColor="text1"/>
                <w:lang w:eastAsia="en-GB"/>
              </w:rPr>
              <w:t>row 110.</w:t>
            </w:r>
            <w:r w:rsidR="00494FCD" w:rsidRPr="00BB79FA">
              <w:rPr>
                <w:rFonts w:ascii="Arial" w:eastAsia="Arial" w:hAnsi="Arial" w:cs="Arial"/>
                <w:i/>
                <w:color w:val="000000" w:themeColor="text1"/>
                <w:lang w:eastAsia="en-GB"/>
              </w:rPr>
              <w:t xml:space="preserve"> </w:t>
            </w:r>
          </w:p>
          <w:p w14:paraId="6C41AB4C" w14:textId="77777777" w:rsidR="0081771C" w:rsidRPr="00BB79FA" w:rsidRDefault="0081771C" w:rsidP="00193C56">
            <w:pPr>
              <w:spacing w:after="0" w:line="240" w:lineRule="auto"/>
              <w:rPr>
                <w:rFonts w:ascii="Arial" w:eastAsia="Arial" w:hAnsi="Arial" w:cs="Arial"/>
                <w:i/>
                <w:color w:val="000000" w:themeColor="text1"/>
                <w:lang w:eastAsia="en-GB"/>
              </w:rPr>
            </w:pPr>
          </w:p>
          <w:p w14:paraId="45EF3C65" w14:textId="527EF9CA" w:rsidR="00196622" w:rsidRPr="00BB79FA" w:rsidRDefault="00193C56" w:rsidP="00193C56">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This row will be calculated by a formula, firms do not need to report here.</w:t>
            </w:r>
          </w:p>
          <w:p w14:paraId="60BBF7F0" w14:textId="16896FD2" w:rsidR="000C63C6" w:rsidRPr="00BB79FA" w:rsidRDefault="000C63C6" w:rsidP="00686F3A">
            <w:pPr>
              <w:spacing w:after="0" w:line="240" w:lineRule="auto"/>
              <w:rPr>
                <w:rFonts w:ascii="Arial" w:eastAsia="Arial" w:hAnsi="Arial" w:cs="Arial"/>
                <w:i/>
                <w:color w:val="000000"/>
                <w:kern w:val="0"/>
                <w:lang w:eastAsia="en-GB"/>
                <w14:ligatures w14:val="none"/>
              </w:rPr>
            </w:pPr>
          </w:p>
        </w:tc>
      </w:tr>
      <w:tr w:rsidR="00686F3A" w:rsidRPr="00BB79FA" w14:paraId="595F7BE2" w14:textId="77777777" w:rsidTr="005E746E">
        <w:trPr>
          <w:trHeight w:val="276"/>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3C891CAC" w14:textId="77777777" w:rsidR="00686F3A" w:rsidRPr="00BB79FA" w:rsidRDefault="00686F3A" w:rsidP="00686F3A">
            <w:pPr>
              <w:spacing w:after="0" w:line="240" w:lineRule="auto"/>
              <w:ind w:right="-52"/>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110</w:t>
            </w:r>
          </w:p>
        </w:tc>
        <w:tc>
          <w:tcPr>
            <w:tcW w:w="7655" w:type="dxa"/>
            <w:tcBorders>
              <w:top w:val="nil"/>
              <w:left w:val="nil"/>
              <w:bottom w:val="single" w:sz="4" w:space="0" w:color="auto"/>
              <w:right w:val="single" w:sz="4" w:space="0" w:color="auto"/>
            </w:tcBorders>
            <w:noWrap/>
            <w:hideMark/>
          </w:tcPr>
          <w:p w14:paraId="487B051D" w14:textId="77777777" w:rsidR="00686F3A" w:rsidRPr="00BB79FA" w:rsidRDefault="00686F3A" w:rsidP="474CB48F">
            <w:pPr>
              <w:spacing w:after="0" w:line="240" w:lineRule="auto"/>
              <w:rPr>
                <w:rFonts w:ascii="Arial" w:eastAsia="Arial" w:hAnsi="Arial" w:cs="Arial"/>
                <w:b/>
                <w:i/>
                <w:color w:val="000000" w:themeColor="text1"/>
                <w:u w:val="single"/>
                <w:lang w:eastAsia="en-GB"/>
              </w:rPr>
            </w:pPr>
            <w:r w:rsidRPr="00BB79FA">
              <w:rPr>
                <w:rFonts w:ascii="Arial" w:eastAsia="Arial" w:hAnsi="Arial" w:cs="Arial"/>
                <w:b/>
                <w:i/>
                <w:color w:val="000000"/>
                <w:kern w:val="0"/>
                <w:u w:val="single"/>
                <w:lang w:eastAsia="en-GB"/>
                <w14:ligatures w14:val="none"/>
              </w:rPr>
              <w:t>of which: under the standardised approach (SA)</w:t>
            </w:r>
          </w:p>
          <w:p w14:paraId="229151CC" w14:textId="132D5CA9" w:rsidR="00686F3A" w:rsidRPr="00BB79FA" w:rsidRDefault="00686F3A" w:rsidP="7FE2E7E2">
            <w:pPr>
              <w:spacing w:after="0" w:line="240" w:lineRule="auto"/>
              <w:rPr>
                <w:rFonts w:ascii="Arial" w:eastAsia="Arial" w:hAnsi="Arial" w:cs="Arial"/>
                <w:b/>
                <w:i/>
                <w:color w:val="000000" w:themeColor="text1"/>
                <w:lang w:eastAsia="en-GB"/>
              </w:rPr>
            </w:pPr>
          </w:p>
          <w:p w14:paraId="3AE8A912" w14:textId="29F0079B" w:rsidR="00686F3A" w:rsidRPr="00BB79FA" w:rsidRDefault="3F8744C0" w:rsidP="04230C6B">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lastRenderedPageBreak/>
              <w:t>S</w:t>
            </w:r>
            <w:r w:rsidR="716AB334" w:rsidRPr="00BB79FA">
              <w:rPr>
                <w:rFonts w:ascii="Arial" w:eastAsia="Arial" w:hAnsi="Arial" w:cs="Arial"/>
                <w:i/>
                <w:color w:val="000000" w:themeColor="text1"/>
                <w:lang w:eastAsia="en-GB"/>
              </w:rPr>
              <w:t>ub-total</w:t>
            </w:r>
            <w:r w:rsidRPr="00BB79FA">
              <w:rPr>
                <w:rFonts w:ascii="Arial" w:eastAsia="Arial" w:hAnsi="Arial" w:cs="Arial"/>
                <w:i/>
                <w:color w:val="000000" w:themeColor="text1"/>
                <w:lang w:eastAsia="en-GB"/>
              </w:rPr>
              <w:t xml:space="preserve"> row of the following rows:</w:t>
            </w:r>
            <w:r w:rsidR="6AD93DE9" w:rsidRPr="00BB79FA">
              <w:rPr>
                <w:rFonts w:ascii="Arial" w:eastAsia="Arial" w:hAnsi="Arial" w:cs="Arial"/>
                <w:i/>
                <w:color w:val="000000" w:themeColor="text1"/>
                <w:lang w:eastAsia="en-GB"/>
              </w:rPr>
              <w:t xml:space="preserve"> </w:t>
            </w:r>
            <w:r w:rsidRPr="00BB79FA">
              <w:rPr>
                <w:rFonts w:ascii="Arial" w:eastAsia="Arial" w:hAnsi="Arial" w:cs="Arial"/>
                <w:i/>
                <w:color w:val="000000" w:themeColor="text1"/>
                <w:lang w:eastAsia="en-GB"/>
              </w:rPr>
              <w:t>120; 130; 140</w:t>
            </w:r>
            <w:r w:rsidR="3CA6B146" w:rsidRPr="00BB79FA">
              <w:rPr>
                <w:rFonts w:ascii="Arial" w:eastAsia="Arial" w:hAnsi="Arial" w:cs="Arial"/>
                <w:i/>
                <w:color w:val="000000" w:themeColor="text1"/>
                <w:lang w:eastAsia="en-GB"/>
              </w:rPr>
              <w:t xml:space="preserve">; </w:t>
            </w:r>
            <w:r w:rsidRPr="00BB79FA">
              <w:rPr>
                <w:rFonts w:ascii="Arial" w:eastAsia="Arial" w:hAnsi="Arial" w:cs="Arial"/>
                <w:i/>
                <w:color w:val="000000" w:themeColor="text1"/>
                <w:lang w:eastAsia="en-GB"/>
              </w:rPr>
              <w:t>150</w:t>
            </w:r>
            <w:r w:rsidR="4A5095FC" w:rsidRPr="00BB79FA">
              <w:rPr>
                <w:rFonts w:ascii="Arial" w:eastAsia="Arial" w:hAnsi="Arial" w:cs="Arial"/>
                <w:i/>
                <w:color w:val="000000" w:themeColor="text1"/>
                <w:lang w:eastAsia="en-GB"/>
              </w:rPr>
              <w:t xml:space="preserve">; </w:t>
            </w:r>
            <w:r w:rsidRPr="00BB79FA">
              <w:rPr>
                <w:rFonts w:ascii="Arial" w:eastAsia="Arial" w:hAnsi="Arial" w:cs="Arial"/>
                <w:i/>
                <w:color w:val="000000" w:themeColor="text1"/>
                <w:lang w:eastAsia="en-GB"/>
              </w:rPr>
              <w:t>160</w:t>
            </w:r>
            <w:r w:rsidR="6AC78961" w:rsidRPr="00BB79FA">
              <w:rPr>
                <w:rFonts w:ascii="Arial" w:eastAsia="Arial" w:hAnsi="Arial" w:cs="Arial"/>
                <w:i/>
                <w:color w:val="000000" w:themeColor="text1"/>
                <w:lang w:eastAsia="en-GB"/>
              </w:rPr>
              <w:t xml:space="preserve">; </w:t>
            </w:r>
            <w:r w:rsidRPr="00BB79FA">
              <w:rPr>
                <w:rFonts w:ascii="Arial" w:eastAsia="Arial" w:hAnsi="Arial" w:cs="Arial"/>
                <w:i/>
                <w:color w:val="000000" w:themeColor="text1"/>
                <w:lang w:eastAsia="en-GB"/>
              </w:rPr>
              <w:t>170</w:t>
            </w:r>
            <w:r w:rsidR="62250ED3" w:rsidRPr="00BB79FA">
              <w:rPr>
                <w:rFonts w:ascii="Arial" w:eastAsia="Arial" w:hAnsi="Arial" w:cs="Arial"/>
                <w:i/>
                <w:color w:val="000000" w:themeColor="text1"/>
                <w:lang w:eastAsia="en-GB"/>
              </w:rPr>
              <w:t xml:space="preserve">; </w:t>
            </w:r>
            <w:r w:rsidRPr="00BB79FA">
              <w:rPr>
                <w:rFonts w:ascii="Arial" w:eastAsia="Arial" w:hAnsi="Arial" w:cs="Arial"/>
                <w:i/>
                <w:color w:val="000000" w:themeColor="text1"/>
                <w:lang w:eastAsia="en-GB"/>
              </w:rPr>
              <w:t>180</w:t>
            </w:r>
            <w:r w:rsidR="7CEE992A" w:rsidRPr="00BB79FA">
              <w:rPr>
                <w:rFonts w:ascii="Arial" w:eastAsia="Arial" w:hAnsi="Arial" w:cs="Arial"/>
                <w:i/>
                <w:color w:val="000000" w:themeColor="text1"/>
                <w:lang w:eastAsia="en-GB"/>
              </w:rPr>
              <w:t xml:space="preserve">; </w:t>
            </w:r>
            <w:r w:rsidRPr="00BB79FA">
              <w:rPr>
                <w:rFonts w:ascii="Arial" w:eastAsia="Arial" w:hAnsi="Arial" w:cs="Arial"/>
                <w:i/>
                <w:color w:val="000000" w:themeColor="text1"/>
                <w:lang w:eastAsia="en-GB"/>
              </w:rPr>
              <w:t>190</w:t>
            </w:r>
            <w:r w:rsidR="61069B82" w:rsidRPr="00BB79FA">
              <w:rPr>
                <w:rFonts w:ascii="Arial" w:eastAsia="Arial" w:hAnsi="Arial" w:cs="Arial"/>
                <w:i/>
                <w:color w:val="000000" w:themeColor="text1"/>
                <w:lang w:eastAsia="en-GB"/>
              </w:rPr>
              <w:t xml:space="preserve">; </w:t>
            </w:r>
            <w:r w:rsidRPr="00BB79FA">
              <w:rPr>
                <w:rFonts w:ascii="Arial" w:eastAsia="Arial" w:hAnsi="Arial" w:cs="Arial"/>
                <w:i/>
                <w:color w:val="000000" w:themeColor="text1"/>
                <w:lang w:eastAsia="en-GB"/>
              </w:rPr>
              <w:t>200</w:t>
            </w:r>
            <w:r w:rsidR="4D450743" w:rsidRPr="00BB79FA">
              <w:rPr>
                <w:rFonts w:ascii="Arial" w:eastAsia="Arial" w:hAnsi="Arial" w:cs="Arial"/>
                <w:i/>
                <w:color w:val="000000" w:themeColor="text1"/>
                <w:lang w:eastAsia="en-GB"/>
              </w:rPr>
              <w:t xml:space="preserve">; </w:t>
            </w:r>
            <w:r w:rsidRPr="00BB79FA">
              <w:rPr>
                <w:rFonts w:ascii="Arial" w:eastAsia="Arial" w:hAnsi="Arial" w:cs="Arial"/>
                <w:i/>
                <w:color w:val="000000" w:themeColor="text1"/>
                <w:lang w:eastAsia="en-GB"/>
              </w:rPr>
              <w:t>210</w:t>
            </w:r>
            <w:r w:rsidR="00D44896" w:rsidRPr="00BB79FA">
              <w:rPr>
                <w:rFonts w:ascii="Arial" w:eastAsia="Arial" w:hAnsi="Arial" w:cs="Arial"/>
                <w:i/>
                <w:color w:val="000000" w:themeColor="text1"/>
                <w:lang w:eastAsia="en-GB"/>
              </w:rPr>
              <w:t xml:space="preserve">; </w:t>
            </w:r>
            <w:r w:rsidR="00AC0315" w:rsidRPr="00BB79FA">
              <w:rPr>
                <w:rFonts w:ascii="Arial" w:eastAsia="Arial" w:hAnsi="Arial" w:cs="Arial"/>
                <w:i/>
                <w:color w:val="000000" w:themeColor="text1"/>
                <w:lang w:eastAsia="en-GB"/>
              </w:rPr>
              <w:t xml:space="preserve">250; </w:t>
            </w:r>
            <w:r w:rsidRPr="00BB79FA">
              <w:rPr>
                <w:rFonts w:ascii="Arial" w:eastAsia="Arial" w:hAnsi="Arial" w:cs="Arial"/>
                <w:i/>
                <w:color w:val="000000" w:themeColor="text1"/>
                <w:lang w:eastAsia="en-GB"/>
              </w:rPr>
              <w:t>260</w:t>
            </w:r>
            <w:r w:rsidR="0A72717A" w:rsidRPr="00BB79FA">
              <w:rPr>
                <w:rFonts w:ascii="Arial" w:eastAsia="Arial" w:hAnsi="Arial" w:cs="Arial"/>
                <w:i/>
                <w:color w:val="000000" w:themeColor="text1"/>
                <w:lang w:eastAsia="en-GB"/>
              </w:rPr>
              <w:t xml:space="preserve">; </w:t>
            </w:r>
            <w:r w:rsidR="00AC0315" w:rsidRPr="00BB79FA">
              <w:rPr>
                <w:rFonts w:ascii="Arial" w:eastAsia="Arial" w:hAnsi="Arial" w:cs="Arial"/>
                <w:i/>
                <w:color w:val="000000" w:themeColor="text1"/>
                <w:lang w:eastAsia="en-GB"/>
              </w:rPr>
              <w:t xml:space="preserve">and </w:t>
            </w:r>
            <w:r w:rsidRPr="00BB79FA">
              <w:rPr>
                <w:rFonts w:ascii="Arial" w:eastAsia="Arial" w:hAnsi="Arial" w:cs="Arial"/>
                <w:i/>
                <w:color w:val="000000" w:themeColor="text1"/>
                <w:lang w:eastAsia="en-GB"/>
              </w:rPr>
              <w:t>270</w:t>
            </w:r>
            <w:r w:rsidR="388778C6" w:rsidRPr="00BB79FA">
              <w:rPr>
                <w:rFonts w:ascii="Arial" w:eastAsia="Arial" w:hAnsi="Arial" w:cs="Arial"/>
                <w:i/>
                <w:color w:val="000000" w:themeColor="text1"/>
                <w:lang w:eastAsia="en-GB"/>
              </w:rPr>
              <w:t>.</w:t>
            </w:r>
          </w:p>
          <w:p w14:paraId="56394A62" w14:textId="6FCC2964" w:rsidR="00686F3A" w:rsidRPr="00BB79FA" w:rsidRDefault="00686F3A" w:rsidP="25E2E239">
            <w:pPr>
              <w:spacing w:after="0" w:line="240" w:lineRule="auto"/>
              <w:rPr>
                <w:rFonts w:ascii="Arial" w:eastAsia="Arial" w:hAnsi="Arial" w:cs="Arial"/>
                <w:i/>
                <w:color w:val="000000" w:themeColor="text1"/>
                <w:lang w:eastAsia="en-GB"/>
              </w:rPr>
            </w:pPr>
          </w:p>
          <w:p w14:paraId="58F5CCAE" w14:textId="35394B95" w:rsidR="00E708F5" w:rsidRPr="00BB79FA" w:rsidRDefault="00E708F5" w:rsidP="25E2E239">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This row will be</w:t>
            </w:r>
            <w:r w:rsidR="00321974" w:rsidRPr="00BB79FA">
              <w:rPr>
                <w:rFonts w:ascii="Arial" w:eastAsia="Arial" w:hAnsi="Arial" w:cs="Arial"/>
                <w:i/>
                <w:color w:val="000000" w:themeColor="text1"/>
                <w:lang w:eastAsia="en-GB"/>
              </w:rPr>
              <w:t xml:space="preserve"> calculated by a formula, firms do not need to </w:t>
            </w:r>
            <w:r w:rsidR="00962392" w:rsidRPr="00BB79FA">
              <w:rPr>
                <w:rFonts w:ascii="Arial" w:eastAsia="Arial" w:hAnsi="Arial" w:cs="Arial"/>
                <w:i/>
                <w:color w:val="000000" w:themeColor="text1"/>
                <w:lang w:eastAsia="en-GB"/>
              </w:rPr>
              <w:t>report here.</w:t>
            </w:r>
          </w:p>
          <w:p w14:paraId="731DCD72" w14:textId="33AA4DB4" w:rsidR="00686F3A" w:rsidRPr="00BB79FA" w:rsidRDefault="00686F3A" w:rsidP="7FE2E7E2">
            <w:pPr>
              <w:spacing w:after="0" w:line="240" w:lineRule="auto"/>
              <w:rPr>
                <w:rFonts w:ascii="Arial" w:eastAsia="Arial" w:hAnsi="Arial" w:cs="Arial"/>
                <w:i/>
                <w:color w:val="000000"/>
                <w:kern w:val="0"/>
                <w:lang w:eastAsia="en-GB"/>
                <w14:ligatures w14:val="none"/>
              </w:rPr>
            </w:pPr>
          </w:p>
        </w:tc>
      </w:tr>
      <w:tr w:rsidR="00702E53" w:rsidRPr="00BB79FA" w14:paraId="66708BE2" w14:textId="77777777" w:rsidTr="005E746E">
        <w:trPr>
          <w:trHeight w:val="132"/>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3F20757A" w14:textId="777777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lastRenderedPageBreak/>
              <w:t>120</w:t>
            </w:r>
          </w:p>
        </w:tc>
        <w:tc>
          <w:tcPr>
            <w:tcW w:w="7655" w:type="dxa"/>
            <w:tcBorders>
              <w:top w:val="nil"/>
              <w:left w:val="nil"/>
              <w:bottom w:val="single" w:sz="4" w:space="0" w:color="auto"/>
              <w:right w:val="single" w:sz="4" w:space="0" w:color="auto"/>
            </w:tcBorders>
            <w:shd w:val="clear" w:color="auto" w:fill="FFFFFF" w:themeFill="background1"/>
            <w:noWrap/>
            <w:hideMark/>
          </w:tcPr>
          <w:p w14:paraId="5ADDF434" w14:textId="562EBA4D" w:rsidR="00686F3A" w:rsidRPr="00BB79FA" w:rsidRDefault="00686F3A" w:rsidP="6A8102B4">
            <w:pPr>
              <w:spacing w:after="0" w:line="240" w:lineRule="auto"/>
              <w:rPr>
                <w:rFonts w:ascii="Arial" w:eastAsia="Arial" w:hAnsi="Arial" w:cs="Arial"/>
                <w:b/>
                <w:i/>
                <w:color w:val="000000" w:themeColor="text1"/>
                <w:lang w:eastAsia="en-GB"/>
              </w:rPr>
            </w:pPr>
            <w:r w:rsidRPr="00BB79FA">
              <w:rPr>
                <w:rFonts w:ascii="Arial" w:eastAsia="Arial" w:hAnsi="Arial" w:cs="Arial"/>
                <w:b/>
                <w:i/>
                <w:color w:val="000000"/>
                <w:kern w:val="0"/>
                <w:u w:val="single"/>
                <w:lang w:eastAsia="en-GB"/>
                <w14:ligatures w14:val="none"/>
              </w:rPr>
              <w:t xml:space="preserve">   of which: retail exposures </w:t>
            </w:r>
            <w:r w:rsidR="2A6D2022" w:rsidRPr="00BB79FA">
              <w:rPr>
                <w:rFonts w:ascii="Arial" w:eastAsia="Arial" w:hAnsi="Arial" w:cs="Arial"/>
                <w:b/>
                <w:i/>
                <w:color w:val="000000"/>
                <w:kern w:val="0"/>
                <w:u w:val="single"/>
                <w:lang w:eastAsia="en-GB"/>
                <w14:ligatures w14:val="none"/>
              </w:rPr>
              <w:t>–</w:t>
            </w:r>
            <w:r w:rsidRPr="00BB79FA">
              <w:rPr>
                <w:rFonts w:ascii="Arial" w:eastAsia="Arial" w:hAnsi="Arial" w:cs="Arial"/>
                <w:b/>
                <w:i/>
                <w:color w:val="000000"/>
                <w:kern w:val="0"/>
                <w:u w:val="single"/>
                <w:lang w:eastAsia="en-GB"/>
                <w14:ligatures w14:val="none"/>
              </w:rPr>
              <w:t xml:space="preserve"> SMEs</w:t>
            </w:r>
          </w:p>
          <w:p w14:paraId="79C1CEEC" w14:textId="753A2E0E" w:rsidR="00686F3A" w:rsidRPr="00BB79FA" w:rsidRDefault="00686F3A" w:rsidP="6A8102B4">
            <w:pPr>
              <w:spacing w:after="0" w:line="240" w:lineRule="auto"/>
              <w:rPr>
                <w:rFonts w:ascii="Arial" w:eastAsia="Arial" w:hAnsi="Arial" w:cs="Arial"/>
                <w:b/>
                <w:i/>
                <w:color w:val="000000" w:themeColor="text1"/>
                <w:lang w:eastAsia="en-GB"/>
              </w:rPr>
            </w:pPr>
          </w:p>
          <w:p w14:paraId="4720D73C" w14:textId="1F17BA9A" w:rsidR="00686F3A" w:rsidRPr="00BB79FA" w:rsidRDefault="3C8581B9" w:rsidP="4A0A9E92">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Sub-total row of row 121 and 122.</w:t>
            </w:r>
          </w:p>
          <w:p w14:paraId="39800038" w14:textId="2D6275B4" w:rsidR="00686F3A" w:rsidRPr="00BB79FA" w:rsidRDefault="00686F3A" w:rsidP="4A0A9E92">
            <w:pPr>
              <w:spacing w:after="0" w:line="240" w:lineRule="auto"/>
              <w:rPr>
                <w:rFonts w:ascii="Arial" w:eastAsia="Arial" w:hAnsi="Arial" w:cs="Arial"/>
                <w:i/>
                <w:color w:val="000000" w:themeColor="text1"/>
                <w:lang w:eastAsia="en-GB"/>
              </w:rPr>
            </w:pPr>
          </w:p>
          <w:p w14:paraId="6CBC8F09" w14:textId="77777777" w:rsidR="008417B4" w:rsidRPr="00BB79FA" w:rsidRDefault="008417B4" w:rsidP="008417B4">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This row will be calculated by a formula, firms do not need to report here.</w:t>
            </w:r>
          </w:p>
          <w:p w14:paraId="5B47A422" w14:textId="2CCCA6DD" w:rsidR="001F50BB" w:rsidRPr="00BB79FA" w:rsidRDefault="001F50BB" w:rsidP="008417B4">
            <w:pPr>
              <w:spacing w:after="0" w:line="240" w:lineRule="auto"/>
              <w:rPr>
                <w:rFonts w:ascii="Arial" w:eastAsia="Arial" w:hAnsi="Arial" w:cs="Arial"/>
                <w:i/>
                <w:color w:val="000000" w:themeColor="text1"/>
                <w:lang w:eastAsia="en-GB"/>
              </w:rPr>
            </w:pPr>
          </w:p>
        </w:tc>
      </w:tr>
      <w:tr w:rsidR="00686F3A" w:rsidRPr="00BB79FA" w14:paraId="2040F1F8" w14:textId="77777777" w:rsidTr="005E746E">
        <w:trPr>
          <w:trHeight w:val="300"/>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06B34DA6" w14:textId="777777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121</w:t>
            </w:r>
          </w:p>
        </w:tc>
        <w:tc>
          <w:tcPr>
            <w:tcW w:w="7655" w:type="dxa"/>
            <w:tcBorders>
              <w:top w:val="nil"/>
              <w:left w:val="nil"/>
              <w:bottom w:val="single" w:sz="4" w:space="0" w:color="auto"/>
              <w:right w:val="single" w:sz="4" w:space="0" w:color="auto"/>
            </w:tcBorders>
            <w:shd w:val="clear" w:color="auto" w:fill="FFFFFF" w:themeFill="background1"/>
            <w:noWrap/>
            <w:hideMark/>
          </w:tcPr>
          <w:p w14:paraId="65F2806F" w14:textId="5E2B1FCF" w:rsidR="00686F3A" w:rsidRPr="00BB79FA" w:rsidRDefault="00686F3A" w:rsidP="66FAA0FB">
            <w:pPr>
              <w:spacing w:after="0" w:line="240" w:lineRule="auto"/>
              <w:rPr>
                <w:rFonts w:ascii="Arial" w:eastAsia="Arial" w:hAnsi="Arial" w:cs="Arial"/>
                <w:i/>
                <w:color w:val="000000" w:themeColor="text1"/>
                <w:lang w:eastAsia="en-GB"/>
              </w:rPr>
            </w:pPr>
            <w:r w:rsidRPr="00BB79FA">
              <w:rPr>
                <w:rFonts w:ascii="Arial" w:eastAsia="Arial" w:hAnsi="Arial" w:cs="Arial"/>
                <w:i/>
                <w:color w:val="000000"/>
                <w:kern w:val="0"/>
                <w:lang w:eastAsia="en-GB"/>
                <w14:ligatures w14:val="none"/>
              </w:rPr>
              <w:t xml:space="preserve"> </w:t>
            </w:r>
            <w:r w:rsidRPr="00BB79FA">
              <w:rPr>
                <w:rFonts w:ascii="Arial" w:eastAsia="Arial" w:hAnsi="Arial" w:cs="Arial"/>
                <w:i/>
                <w:color w:val="000000"/>
                <w:kern w:val="0"/>
                <w:u w:val="single"/>
                <w:lang w:eastAsia="en-GB"/>
                <w14:ligatures w14:val="none"/>
              </w:rPr>
              <w:t xml:space="preserve">     of which: assigned a RW of 45% </w:t>
            </w:r>
          </w:p>
          <w:p w14:paraId="1B03EFD6" w14:textId="1E873B72" w:rsidR="00686F3A" w:rsidRPr="00BB79FA" w:rsidRDefault="00686F3A" w:rsidP="66FAA0FB">
            <w:pPr>
              <w:spacing w:after="0" w:line="240" w:lineRule="auto"/>
              <w:rPr>
                <w:rFonts w:ascii="Arial" w:eastAsia="Arial" w:hAnsi="Arial" w:cs="Arial"/>
                <w:i/>
                <w:color w:val="000000" w:themeColor="text1"/>
                <w:lang w:eastAsia="en-GB"/>
              </w:rPr>
            </w:pPr>
          </w:p>
          <w:p w14:paraId="1304C4A5" w14:textId="0CEFDDE8" w:rsidR="00686F3A" w:rsidRPr="00BB79FA" w:rsidRDefault="00C26E5C" w:rsidP="5DC50F5C">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Only e</w:t>
            </w:r>
            <w:r w:rsidR="66BD8935" w:rsidRPr="00BB79FA">
              <w:rPr>
                <w:rFonts w:ascii="Arial" w:eastAsia="Arial" w:hAnsi="Arial" w:cs="Arial"/>
                <w:i/>
                <w:color w:val="000000" w:themeColor="text1"/>
                <w:lang w:eastAsia="en-GB"/>
              </w:rPr>
              <w:t>xposures</w:t>
            </w:r>
            <w:r w:rsidR="00B56A40" w:rsidRPr="00BB79FA">
              <w:rPr>
                <w:rFonts w:ascii="Arial" w:eastAsia="Arial" w:hAnsi="Arial" w:cs="Arial"/>
                <w:i/>
                <w:color w:val="000000" w:themeColor="text1"/>
                <w:lang w:eastAsia="en-GB"/>
              </w:rPr>
              <w:t xml:space="preserve"> to SMEs</w:t>
            </w:r>
            <w:r w:rsidR="66BD8935" w:rsidRPr="00BB79FA">
              <w:rPr>
                <w:rFonts w:ascii="Arial" w:eastAsia="Arial" w:hAnsi="Arial" w:cs="Arial"/>
                <w:i/>
                <w:color w:val="000000" w:themeColor="text1"/>
                <w:lang w:eastAsia="en-GB"/>
              </w:rPr>
              <w:t xml:space="preserve"> that are</w:t>
            </w:r>
            <w:r w:rsidR="00C0352E" w:rsidRPr="00BB79FA">
              <w:rPr>
                <w:rFonts w:ascii="Arial" w:eastAsia="Arial" w:hAnsi="Arial" w:cs="Arial"/>
                <w:i/>
                <w:color w:val="000000" w:themeColor="text1"/>
                <w:lang w:eastAsia="en-GB"/>
              </w:rPr>
              <w:t xml:space="preserve"> </w:t>
            </w:r>
            <w:r w:rsidR="66BD8935" w:rsidRPr="00BB79FA">
              <w:rPr>
                <w:rFonts w:ascii="Arial" w:eastAsia="Arial" w:hAnsi="Arial" w:cs="Arial"/>
                <w:i/>
                <w:color w:val="000000" w:themeColor="text1"/>
                <w:lang w:eastAsia="en-GB"/>
              </w:rPr>
              <w:t>assigned a risk weight of 45%</w:t>
            </w:r>
            <w:r w:rsidR="5C6BB252" w:rsidRPr="00BB79FA">
              <w:rPr>
                <w:rFonts w:ascii="Arial" w:eastAsia="Arial" w:hAnsi="Arial" w:cs="Arial"/>
                <w:i/>
                <w:color w:val="000000" w:themeColor="text1"/>
                <w:lang w:eastAsia="en-GB"/>
              </w:rPr>
              <w:t xml:space="preserve"> under Article 123</w:t>
            </w:r>
            <w:r w:rsidR="00217731" w:rsidRPr="00BB79FA">
              <w:rPr>
                <w:rFonts w:ascii="Arial" w:eastAsia="Arial" w:hAnsi="Arial" w:cs="Arial"/>
                <w:i/>
                <w:color w:val="000000" w:themeColor="text1"/>
                <w:lang w:eastAsia="en-GB"/>
              </w:rPr>
              <w:t>(3)(a)</w:t>
            </w:r>
            <w:r w:rsidR="5C6BB252" w:rsidRPr="00BB79FA">
              <w:rPr>
                <w:rFonts w:ascii="Arial" w:eastAsia="Arial" w:hAnsi="Arial" w:cs="Arial"/>
                <w:i/>
                <w:color w:val="000000" w:themeColor="text1"/>
                <w:lang w:eastAsia="en-GB"/>
              </w:rPr>
              <w:t xml:space="preserve"> of the Credit Risk: Standardised Approach (CRR) Part</w:t>
            </w:r>
            <w:r w:rsidR="4A8C33B1" w:rsidRPr="00BB79FA">
              <w:rPr>
                <w:rFonts w:ascii="Arial" w:eastAsia="Arial" w:hAnsi="Arial" w:cs="Arial"/>
                <w:i/>
                <w:color w:val="000000" w:themeColor="text1"/>
                <w:lang w:eastAsia="en-GB"/>
              </w:rPr>
              <w:t xml:space="preserve"> </w:t>
            </w:r>
            <w:r w:rsidR="66BD8935" w:rsidRPr="00BB79FA">
              <w:rPr>
                <w:rFonts w:ascii="Arial" w:eastAsia="Arial" w:hAnsi="Arial" w:cs="Arial"/>
                <w:i/>
                <w:color w:val="000000" w:themeColor="text1"/>
                <w:lang w:eastAsia="en-GB"/>
              </w:rPr>
              <w:t>shall be reported here.</w:t>
            </w:r>
          </w:p>
          <w:p w14:paraId="27B6860A" w14:textId="7F58503A" w:rsidR="00686F3A" w:rsidRPr="00BB79FA" w:rsidRDefault="00686F3A" w:rsidP="00686F3A">
            <w:pPr>
              <w:spacing w:after="0" w:line="240" w:lineRule="auto"/>
              <w:rPr>
                <w:rFonts w:ascii="Arial" w:eastAsia="Arial" w:hAnsi="Arial" w:cs="Arial"/>
                <w:i/>
                <w:color w:val="000000"/>
                <w:kern w:val="0"/>
                <w:lang w:eastAsia="en-GB"/>
                <w14:ligatures w14:val="none"/>
              </w:rPr>
            </w:pPr>
          </w:p>
        </w:tc>
      </w:tr>
      <w:tr w:rsidR="00686F3A" w:rsidRPr="00BB79FA" w14:paraId="6775FEEB" w14:textId="77777777" w:rsidTr="005E746E">
        <w:trPr>
          <w:trHeight w:val="300"/>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768F83BE" w14:textId="777777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122</w:t>
            </w:r>
          </w:p>
        </w:tc>
        <w:tc>
          <w:tcPr>
            <w:tcW w:w="7655" w:type="dxa"/>
            <w:tcBorders>
              <w:top w:val="nil"/>
              <w:left w:val="nil"/>
              <w:bottom w:val="single" w:sz="4" w:space="0" w:color="auto"/>
              <w:right w:val="single" w:sz="4" w:space="0" w:color="auto"/>
            </w:tcBorders>
            <w:shd w:val="clear" w:color="auto" w:fill="FFFFFF" w:themeFill="background1"/>
            <w:noWrap/>
            <w:hideMark/>
          </w:tcPr>
          <w:p w14:paraId="0A6CD320" w14:textId="005994F0" w:rsidR="00686F3A" w:rsidRPr="00BB79FA" w:rsidRDefault="00686F3A" w:rsidP="5DC50F5C">
            <w:pPr>
              <w:spacing w:after="0" w:line="240" w:lineRule="auto"/>
              <w:rPr>
                <w:rFonts w:ascii="Arial" w:eastAsia="Arial" w:hAnsi="Arial" w:cs="Arial"/>
                <w:i/>
                <w:color w:val="000000" w:themeColor="text1"/>
                <w:lang w:eastAsia="en-GB"/>
              </w:rPr>
            </w:pPr>
            <w:r w:rsidRPr="00BB79FA">
              <w:rPr>
                <w:rFonts w:ascii="Arial" w:eastAsia="Arial" w:hAnsi="Arial" w:cs="Arial"/>
                <w:i/>
                <w:color w:val="000000"/>
                <w:kern w:val="0"/>
                <w:lang w:eastAsia="en-GB"/>
                <w14:ligatures w14:val="none"/>
              </w:rPr>
              <w:t xml:space="preserve">  </w:t>
            </w:r>
            <w:r w:rsidRPr="00BB79FA">
              <w:rPr>
                <w:rFonts w:ascii="Arial" w:eastAsia="Arial" w:hAnsi="Arial" w:cs="Arial"/>
                <w:i/>
                <w:color w:val="000000"/>
                <w:kern w:val="0"/>
                <w:u w:val="single"/>
                <w:lang w:eastAsia="en-GB"/>
                <w14:ligatures w14:val="none"/>
              </w:rPr>
              <w:t xml:space="preserve">    of which: assigned a RW of 75%</w:t>
            </w:r>
            <w:r w:rsidRPr="00BB79FA">
              <w:rPr>
                <w:rFonts w:ascii="Arial" w:eastAsia="Arial" w:hAnsi="Arial" w:cs="Arial"/>
                <w:i/>
                <w:color w:val="000000"/>
                <w:kern w:val="0"/>
                <w:lang w:eastAsia="en-GB"/>
                <w14:ligatures w14:val="none"/>
              </w:rPr>
              <w:t xml:space="preserve"> </w:t>
            </w:r>
          </w:p>
          <w:p w14:paraId="047A120F" w14:textId="4A878D97" w:rsidR="00686F3A" w:rsidRPr="00BB79FA" w:rsidRDefault="00686F3A" w:rsidP="5DC50F5C">
            <w:pPr>
              <w:spacing w:after="0" w:line="240" w:lineRule="auto"/>
              <w:rPr>
                <w:rFonts w:ascii="Arial" w:eastAsia="Arial" w:hAnsi="Arial" w:cs="Arial"/>
                <w:i/>
                <w:color w:val="000000" w:themeColor="text1"/>
                <w:lang w:eastAsia="en-GB"/>
              </w:rPr>
            </w:pPr>
          </w:p>
          <w:p w14:paraId="2AAA81F3" w14:textId="58C2CC8C" w:rsidR="00686F3A" w:rsidRPr="00BB79FA" w:rsidRDefault="25406214" w:rsidP="6FB6A2FB">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Only exposures </w:t>
            </w:r>
            <w:r w:rsidR="00C26E5C" w:rsidRPr="00BB79FA">
              <w:rPr>
                <w:rFonts w:ascii="Arial" w:eastAsia="Arial" w:hAnsi="Arial" w:cs="Arial"/>
                <w:i/>
                <w:color w:val="000000" w:themeColor="text1"/>
                <w:lang w:eastAsia="en-GB"/>
              </w:rPr>
              <w:t xml:space="preserve">to SMEs </w:t>
            </w:r>
            <w:r w:rsidRPr="00BB79FA">
              <w:rPr>
                <w:rFonts w:ascii="Arial" w:eastAsia="Arial" w:hAnsi="Arial" w:cs="Arial"/>
                <w:i/>
                <w:color w:val="000000" w:themeColor="text1"/>
                <w:lang w:eastAsia="en-GB"/>
              </w:rPr>
              <w:t>that are assigned a risk weight of 75%</w:t>
            </w:r>
            <w:r w:rsidR="6814DDA7" w:rsidRPr="00BB79FA">
              <w:rPr>
                <w:rFonts w:ascii="Arial" w:eastAsia="Arial" w:hAnsi="Arial" w:cs="Arial"/>
                <w:i/>
                <w:color w:val="000000" w:themeColor="text1"/>
                <w:lang w:eastAsia="en-GB"/>
              </w:rPr>
              <w:t xml:space="preserve"> under Article 123</w:t>
            </w:r>
            <w:r w:rsidR="00F72F3E" w:rsidRPr="00BB79FA">
              <w:rPr>
                <w:rFonts w:ascii="Arial" w:eastAsia="Arial" w:hAnsi="Arial" w:cs="Arial"/>
                <w:i/>
                <w:color w:val="000000" w:themeColor="text1"/>
                <w:lang w:eastAsia="en-GB"/>
              </w:rPr>
              <w:t>(3)(b</w:t>
            </w:r>
            <w:r w:rsidRPr="00BB79FA">
              <w:rPr>
                <w:rFonts w:ascii="Arial" w:eastAsia="Arial" w:hAnsi="Arial" w:cs="Arial"/>
                <w:i/>
                <w:color w:val="000000" w:themeColor="text1"/>
                <w:lang w:eastAsia="en-GB"/>
              </w:rPr>
              <w:t>) of the Credit Risk: Standardised Approach (CRR) Part</w:t>
            </w:r>
            <w:r w:rsidR="40B97013" w:rsidRPr="00BB79FA">
              <w:rPr>
                <w:rFonts w:ascii="Arial" w:eastAsia="Arial" w:hAnsi="Arial" w:cs="Arial"/>
                <w:i/>
                <w:color w:val="000000" w:themeColor="text1"/>
                <w:lang w:eastAsia="en-GB"/>
              </w:rPr>
              <w:t xml:space="preserve"> </w:t>
            </w:r>
            <w:r w:rsidRPr="00BB79FA">
              <w:rPr>
                <w:rFonts w:ascii="Arial" w:eastAsia="Arial" w:hAnsi="Arial" w:cs="Arial"/>
                <w:i/>
                <w:color w:val="000000" w:themeColor="text1"/>
                <w:lang w:eastAsia="en-GB"/>
              </w:rPr>
              <w:t>shall be reported here.</w:t>
            </w:r>
          </w:p>
          <w:p w14:paraId="7ABE0941" w14:textId="7BD11A0D" w:rsidR="00686F3A" w:rsidRPr="00BB79FA" w:rsidRDefault="00686F3A" w:rsidP="00686F3A">
            <w:pPr>
              <w:spacing w:after="0" w:line="240" w:lineRule="auto"/>
              <w:rPr>
                <w:rFonts w:ascii="Arial" w:eastAsia="Arial" w:hAnsi="Arial" w:cs="Arial"/>
                <w:i/>
                <w:color w:val="000000"/>
                <w:kern w:val="0"/>
                <w:lang w:eastAsia="en-GB"/>
                <w14:ligatures w14:val="none"/>
              </w:rPr>
            </w:pPr>
          </w:p>
        </w:tc>
      </w:tr>
      <w:tr w:rsidR="00686F3A" w:rsidRPr="00BB79FA" w14:paraId="6EB7B107" w14:textId="77777777" w:rsidTr="005E746E">
        <w:trPr>
          <w:trHeight w:val="276"/>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34C16466" w14:textId="777777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130</w:t>
            </w:r>
          </w:p>
        </w:tc>
        <w:tc>
          <w:tcPr>
            <w:tcW w:w="7655" w:type="dxa"/>
            <w:tcBorders>
              <w:top w:val="nil"/>
              <w:left w:val="nil"/>
              <w:bottom w:val="single" w:sz="4" w:space="0" w:color="auto"/>
              <w:right w:val="single" w:sz="4" w:space="0" w:color="auto"/>
            </w:tcBorders>
            <w:shd w:val="clear" w:color="auto" w:fill="FFFFFF" w:themeFill="background1"/>
            <w:noWrap/>
            <w:hideMark/>
          </w:tcPr>
          <w:p w14:paraId="442CE58B" w14:textId="247DA31A" w:rsidR="00686F3A" w:rsidRPr="00BB79FA" w:rsidRDefault="00686F3A" w:rsidP="4AD1473E">
            <w:pPr>
              <w:spacing w:after="0" w:line="240" w:lineRule="auto"/>
              <w:rPr>
                <w:rFonts w:ascii="Arial" w:eastAsia="Arial" w:hAnsi="Arial" w:cs="Arial"/>
                <w:b/>
                <w:i/>
                <w:color w:val="000000" w:themeColor="text1"/>
                <w:u w:val="single"/>
                <w:lang w:eastAsia="en-GB"/>
              </w:rPr>
            </w:pPr>
            <w:r w:rsidRPr="00BB79FA">
              <w:rPr>
                <w:rFonts w:ascii="Arial" w:eastAsia="Arial" w:hAnsi="Arial" w:cs="Arial"/>
                <w:b/>
                <w:i/>
                <w:color w:val="000000"/>
                <w:kern w:val="0"/>
                <w:u w:val="single"/>
                <w:lang w:eastAsia="en-GB"/>
                <w14:ligatures w14:val="none"/>
              </w:rPr>
              <w:t xml:space="preserve">   of which: corporate exposures </w:t>
            </w:r>
            <w:r w:rsidR="6FA3382C" w:rsidRPr="00BB79FA">
              <w:rPr>
                <w:rFonts w:ascii="Arial" w:eastAsia="Arial" w:hAnsi="Arial" w:cs="Arial"/>
                <w:b/>
                <w:i/>
                <w:color w:val="000000"/>
                <w:kern w:val="0"/>
                <w:u w:val="single"/>
                <w:lang w:eastAsia="en-GB"/>
                <w14:ligatures w14:val="none"/>
              </w:rPr>
              <w:t>–</w:t>
            </w:r>
            <w:r w:rsidRPr="00BB79FA">
              <w:rPr>
                <w:rFonts w:ascii="Arial" w:eastAsia="Arial" w:hAnsi="Arial" w:cs="Arial"/>
                <w:b/>
                <w:i/>
                <w:color w:val="000000"/>
                <w:kern w:val="0"/>
                <w:u w:val="single"/>
                <w:lang w:eastAsia="en-GB"/>
                <w14:ligatures w14:val="none"/>
              </w:rPr>
              <w:t xml:space="preserve"> SMEs</w:t>
            </w:r>
          </w:p>
          <w:p w14:paraId="2A76D227" w14:textId="48C298A5" w:rsidR="00686F3A" w:rsidRPr="00BB79FA" w:rsidRDefault="00686F3A" w:rsidP="4AD1473E">
            <w:pPr>
              <w:spacing w:after="0" w:line="240" w:lineRule="auto"/>
              <w:rPr>
                <w:rFonts w:ascii="Arial" w:eastAsia="Arial" w:hAnsi="Arial" w:cs="Arial"/>
                <w:b/>
                <w:i/>
                <w:color w:val="000000" w:themeColor="text1"/>
                <w:lang w:eastAsia="en-GB"/>
              </w:rPr>
            </w:pPr>
          </w:p>
          <w:p w14:paraId="5EA8F802" w14:textId="3744339E" w:rsidR="00686F3A" w:rsidRPr="00BB79FA" w:rsidRDefault="68196CC3" w:rsidP="04230C6B">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Sub-total row of </w:t>
            </w:r>
            <w:r w:rsidR="304AFA0A" w:rsidRPr="00BB79FA">
              <w:rPr>
                <w:rFonts w:ascii="Arial" w:eastAsia="Arial" w:hAnsi="Arial" w:cs="Arial"/>
                <w:i/>
                <w:color w:val="000000" w:themeColor="text1"/>
                <w:lang w:eastAsia="en-GB"/>
              </w:rPr>
              <w:t xml:space="preserve">following </w:t>
            </w:r>
            <w:r w:rsidRPr="00BB79FA">
              <w:rPr>
                <w:rFonts w:ascii="Arial" w:eastAsia="Arial" w:hAnsi="Arial" w:cs="Arial"/>
                <w:i/>
                <w:color w:val="000000" w:themeColor="text1"/>
                <w:lang w:eastAsia="en-GB"/>
              </w:rPr>
              <w:t>row</w:t>
            </w:r>
            <w:r w:rsidR="0EC24371" w:rsidRPr="00BB79FA">
              <w:rPr>
                <w:rFonts w:ascii="Arial" w:eastAsia="Arial" w:hAnsi="Arial" w:cs="Arial"/>
                <w:i/>
                <w:color w:val="000000" w:themeColor="text1"/>
                <w:lang w:eastAsia="en-GB"/>
              </w:rPr>
              <w:t>s:</w:t>
            </w:r>
            <w:r w:rsidRPr="00BB79FA">
              <w:rPr>
                <w:rFonts w:ascii="Arial" w:eastAsia="Arial" w:hAnsi="Arial" w:cs="Arial"/>
                <w:i/>
                <w:color w:val="000000" w:themeColor="text1"/>
                <w:lang w:eastAsia="en-GB"/>
              </w:rPr>
              <w:t xml:space="preserve"> </w:t>
            </w:r>
            <w:r w:rsidR="4C93FE2E" w:rsidRPr="00BB79FA">
              <w:rPr>
                <w:rFonts w:ascii="Arial" w:eastAsia="Arial" w:hAnsi="Arial" w:cs="Arial"/>
                <w:i/>
                <w:color w:val="000000" w:themeColor="text1"/>
                <w:lang w:eastAsia="en-GB"/>
              </w:rPr>
              <w:t>131; 132; 133; 134; 135; and 136.</w:t>
            </w:r>
          </w:p>
          <w:p w14:paraId="141E283F" w14:textId="0EDF4EF8" w:rsidR="00686F3A" w:rsidRPr="00BB79FA" w:rsidRDefault="00686F3A" w:rsidP="04230C6B">
            <w:pPr>
              <w:spacing w:after="0" w:line="240" w:lineRule="auto"/>
              <w:rPr>
                <w:rFonts w:ascii="Arial" w:eastAsia="Arial" w:hAnsi="Arial" w:cs="Arial"/>
                <w:b/>
                <w:i/>
                <w:color w:val="000000" w:themeColor="text1"/>
                <w:lang w:eastAsia="en-GB"/>
              </w:rPr>
            </w:pPr>
          </w:p>
          <w:p w14:paraId="57EF9537" w14:textId="77777777" w:rsidR="00F72F3E" w:rsidRPr="00BB79FA" w:rsidRDefault="00F72F3E" w:rsidP="00F72F3E">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This row will be calculated by a formula, firms do not need to report here.</w:t>
            </w:r>
          </w:p>
          <w:p w14:paraId="7A356D86" w14:textId="2C44E445" w:rsidR="00686F3A" w:rsidRPr="00BB79FA" w:rsidRDefault="00686F3A" w:rsidP="00686F3A">
            <w:pPr>
              <w:spacing w:after="0" w:line="240" w:lineRule="auto"/>
              <w:rPr>
                <w:rFonts w:ascii="Arial" w:eastAsia="Arial" w:hAnsi="Arial" w:cs="Arial"/>
                <w:b/>
                <w:i/>
                <w:color w:val="000000"/>
                <w:kern w:val="0"/>
                <w:lang w:eastAsia="en-GB"/>
                <w14:ligatures w14:val="none"/>
              </w:rPr>
            </w:pPr>
          </w:p>
        </w:tc>
      </w:tr>
      <w:tr w:rsidR="00686F3A" w:rsidRPr="00BB79FA" w14:paraId="61B0A34A" w14:textId="77777777" w:rsidTr="005E746E">
        <w:trPr>
          <w:trHeight w:val="300"/>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180F436B" w14:textId="777777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131</w:t>
            </w:r>
          </w:p>
        </w:tc>
        <w:tc>
          <w:tcPr>
            <w:tcW w:w="7655" w:type="dxa"/>
            <w:tcBorders>
              <w:top w:val="nil"/>
              <w:left w:val="nil"/>
              <w:bottom w:val="single" w:sz="4" w:space="0" w:color="auto"/>
              <w:right w:val="single" w:sz="4" w:space="0" w:color="auto"/>
            </w:tcBorders>
            <w:shd w:val="clear" w:color="auto" w:fill="FFFFFF" w:themeFill="background1"/>
            <w:noWrap/>
            <w:hideMark/>
          </w:tcPr>
          <w:p w14:paraId="3DB87C57" w14:textId="77777777" w:rsidR="00686F3A" w:rsidRPr="00BB79FA" w:rsidRDefault="00686F3A" w:rsidP="333B7D95">
            <w:pPr>
              <w:spacing w:after="0" w:line="240" w:lineRule="auto"/>
              <w:rPr>
                <w:rFonts w:ascii="Arial" w:eastAsia="Arial" w:hAnsi="Arial" w:cs="Arial"/>
                <w:i/>
                <w:color w:val="000000" w:themeColor="text1"/>
                <w:lang w:eastAsia="en-GB"/>
              </w:rPr>
            </w:pPr>
            <w:r w:rsidRPr="00BB79FA">
              <w:rPr>
                <w:rFonts w:ascii="Arial" w:eastAsia="Arial" w:hAnsi="Arial" w:cs="Arial"/>
                <w:i/>
                <w:color w:val="000000"/>
                <w:kern w:val="0"/>
                <w:lang w:eastAsia="en-GB"/>
                <w14:ligatures w14:val="none"/>
              </w:rPr>
              <w:t xml:space="preserve"> </w:t>
            </w:r>
            <w:r w:rsidRPr="00BB79FA">
              <w:rPr>
                <w:rFonts w:ascii="Arial" w:eastAsia="Arial" w:hAnsi="Arial" w:cs="Arial"/>
                <w:i/>
                <w:color w:val="000000"/>
                <w:kern w:val="0"/>
                <w:u w:val="single"/>
                <w:lang w:eastAsia="en-GB"/>
                <w14:ligatures w14:val="none"/>
              </w:rPr>
              <w:t xml:space="preserve">     of which: assigned a RW of 20% </w:t>
            </w:r>
          </w:p>
          <w:p w14:paraId="7DB3C110" w14:textId="5C315641" w:rsidR="00686F3A" w:rsidRPr="00BB79FA" w:rsidRDefault="00686F3A" w:rsidP="333B7D95">
            <w:pPr>
              <w:spacing w:after="0" w:line="240" w:lineRule="auto"/>
              <w:rPr>
                <w:rFonts w:ascii="Arial" w:eastAsia="Arial" w:hAnsi="Arial" w:cs="Arial"/>
                <w:i/>
                <w:color w:val="000000" w:themeColor="text1"/>
                <w:lang w:eastAsia="en-GB"/>
              </w:rPr>
            </w:pPr>
          </w:p>
          <w:p w14:paraId="3A4BF719" w14:textId="54A1ACFA" w:rsidR="00686F3A" w:rsidRPr="00BB79FA" w:rsidRDefault="4B3466CA" w:rsidP="333B7D95">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Only exposures</w:t>
            </w:r>
            <w:r w:rsidR="00B56A40" w:rsidRPr="00BB79FA">
              <w:rPr>
                <w:rFonts w:ascii="Arial" w:eastAsia="Arial" w:hAnsi="Arial" w:cs="Arial"/>
                <w:i/>
                <w:color w:val="000000" w:themeColor="text1"/>
                <w:lang w:eastAsia="en-GB"/>
              </w:rPr>
              <w:t xml:space="preserve"> to SMEs</w:t>
            </w:r>
            <w:r w:rsidRPr="00BB79FA">
              <w:rPr>
                <w:rFonts w:ascii="Arial" w:eastAsia="Arial" w:hAnsi="Arial" w:cs="Arial"/>
                <w:i/>
                <w:color w:val="000000" w:themeColor="text1"/>
                <w:lang w:eastAsia="en-GB"/>
              </w:rPr>
              <w:t xml:space="preserve"> that are</w:t>
            </w:r>
            <w:r w:rsidR="0089544A" w:rsidRPr="00BB79FA">
              <w:rPr>
                <w:rFonts w:ascii="Arial" w:eastAsia="Arial" w:hAnsi="Arial" w:cs="Arial"/>
                <w:i/>
                <w:color w:val="000000" w:themeColor="text1"/>
                <w:lang w:eastAsia="en-GB"/>
              </w:rPr>
              <w:t xml:space="preserve"> </w:t>
            </w:r>
            <w:r w:rsidRPr="00BB79FA">
              <w:rPr>
                <w:rFonts w:ascii="Arial" w:eastAsia="Arial" w:hAnsi="Arial" w:cs="Arial"/>
                <w:i/>
                <w:color w:val="000000" w:themeColor="text1"/>
                <w:lang w:eastAsia="en-GB"/>
              </w:rPr>
              <w:t>assigned a risk weight of 20%</w:t>
            </w:r>
            <w:r w:rsidR="01AA1630" w:rsidRPr="00BB79FA">
              <w:rPr>
                <w:rFonts w:ascii="Arial" w:eastAsia="Arial" w:hAnsi="Arial" w:cs="Arial"/>
                <w:i/>
                <w:color w:val="000000" w:themeColor="text1"/>
                <w:lang w:eastAsia="en-GB"/>
              </w:rPr>
              <w:t xml:space="preserve"> </w:t>
            </w:r>
            <w:r w:rsidR="00FB756A" w:rsidRPr="00BB79FA">
              <w:rPr>
                <w:rFonts w:ascii="Arial" w:eastAsia="Arial" w:hAnsi="Arial" w:cs="Arial"/>
                <w:i/>
                <w:color w:val="000000" w:themeColor="text1"/>
                <w:lang w:eastAsia="en-GB"/>
              </w:rPr>
              <w:t>in</w:t>
            </w:r>
            <w:r w:rsidR="01AA1630" w:rsidRPr="00BB79FA">
              <w:rPr>
                <w:rFonts w:ascii="Arial" w:eastAsia="Arial" w:hAnsi="Arial" w:cs="Arial"/>
                <w:i/>
                <w:color w:val="000000" w:themeColor="text1"/>
                <w:lang w:eastAsia="en-GB"/>
              </w:rPr>
              <w:t xml:space="preserve"> </w:t>
            </w:r>
            <w:r w:rsidR="00E85043" w:rsidRPr="00BB79FA">
              <w:rPr>
                <w:rFonts w:ascii="Arial" w:eastAsia="Arial" w:hAnsi="Arial" w:cs="Arial"/>
                <w:i/>
                <w:color w:val="000000" w:themeColor="text1"/>
                <w:lang w:eastAsia="en-GB"/>
              </w:rPr>
              <w:t xml:space="preserve">Table 6 or 6A </w:t>
            </w:r>
            <w:r w:rsidR="00FB756A" w:rsidRPr="00BB79FA">
              <w:rPr>
                <w:rFonts w:ascii="Arial" w:eastAsia="Arial" w:hAnsi="Arial" w:cs="Arial"/>
                <w:i/>
                <w:color w:val="000000" w:themeColor="text1"/>
                <w:lang w:eastAsia="en-GB"/>
              </w:rPr>
              <w:t>under</w:t>
            </w:r>
            <w:r w:rsidR="00E85043" w:rsidRPr="00BB79FA">
              <w:rPr>
                <w:rFonts w:ascii="Arial" w:eastAsia="Arial" w:hAnsi="Arial" w:cs="Arial"/>
                <w:i/>
                <w:color w:val="000000" w:themeColor="text1"/>
                <w:lang w:eastAsia="en-GB"/>
              </w:rPr>
              <w:t xml:space="preserve"> </w:t>
            </w:r>
            <w:r w:rsidR="01AA1630" w:rsidRPr="00BB79FA">
              <w:rPr>
                <w:rFonts w:ascii="Arial" w:eastAsia="Arial" w:hAnsi="Arial" w:cs="Arial"/>
                <w:i/>
                <w:color w:val="000000" w:themeColor="text1"/>
                <w:lang w:eastAsia="en-GB"/>
              </w:rPr>
              <w:t>Article 122 of the Credit Risk: Standardised Approach (CRR) Part</w:t>
            </w:r>
            <w:r w:rsidR="4C5C372E" w:rsidRPr="00BB79FA">
              <w:rPr>
                <w:rFonts w:ascii="Arial" w:eastAsia="Arial" w:hAnsi="Arial" w:cs="Arial"/>
                <w:i/>
                <w:color w:val="000000" w:themeColor="text1"/>
                <w:lang w:eastAsia="en-GB"/>
              </w:rPr>
              <w:t xml:space="preserve"> </w:t>
            </w:r>
            <w:r w:rsidRPr="00BB79FA">
              <w:rPr>
                <w:rFonts w:ascii="Arial" w:eastAsia="Arial" w:hAnsi="Arial" w:cs="Arial"/>
                <w:i/>
                <w:color w:val="000000" w:themeColor="text1"/>
                <w:lang w:eastAsia="en-GB"/>
              </w:rPr>
              <w:t xml:space="preserve">shall be reported here.  </w:t>
            </w:r>
          </w:p>
          <w:p w14:paraId="1C9A2CAD" w14:textId="1492A06C" w:rsidR="00686F3A" w:rsidRPr="00BB79FA" w:rsidRDefault="00686F3A" w:rsidP="00686F3A">
            <w:pPr>
              <w:spacing w:after="0" w:line="240" w:lineRule="auto"/>
              <w:rPr>
                <w:rFonts w:ascii="Arial" w:eastAsia="Arial" w:hAnsi="Arial" w:cs="Arial"/>
                <w:i/>
                <w:color w:val="000000"/>
                <w:kern w:val="0"/>
                <w:lang w:eastAsia="en-GB"/>
                <w14:ligatures w14:val="none"/>
              </w:rPr>
            </w:pPr>
          </w:p>
        </w:tc>
      </w:tr>
      <w:tr w:rsidR="00686F3A" w:rsidRPr="00BB79FA" w14:paraId="27E34415" w14:textId="77777777" w:rsidTr="005E746E">
        <w:trPr>
          <w:trHeight w:val="300"/>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507541CC" w14:textId="777777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132</w:t>
            </w:r>
          </w:p>
        </w:tc>
        <w:tc>
          <w:tcPr>
            <w:tcW w:w="7655" w:type="dxa"/>
            <w:tcBorders>
              <w:top w:val="nil"/>
              <w:left w:val="nil"/>
              <w:bottom w:val="single" w:sz="4" w:space="0" w:color="auto"/>
              <w:right w:val="single" w:sz="4" w:space="0" w:color="auto"/>
            </w:tcBorders>
            <w:shd w:val="clear" w:color="auto" w:fill="FFFFFF" w:themeFill="background1"/>
            <w:noWrap/>
            <w:hideMark/>
          </w:tcPr>
          <w:p w14:paraId="54CB7C00" w14:textId="3DF08CFE" w:rsidR="00686F3A" w:rsidRPr="00BB79FA" w:rsidRDefault="00686F3A" w:rsidP="700A77F6">
            <w:pPr>
              <w:spacing w:after="0" w:line="240" w:lineRule="auto"/>
              <w:rPr>
                <w:rFonts w:ascii="Arial" w:eastAsia="Arial" w:hAnsi="Arial" w:cs="Arial"/>
                <w:i/>
                <w:color w:val="000000" w:themeColor="text1"/>
                <w:u w:val="single"/>
                <w:lang w:eastAsia="en-GB"/>
              </w:rPr>
            </w:pPr>
            <w:r w:rsidRPr="00BB79FA">
              <w:rPr>
                <w:rFonts w:ascii="Arial" w:eastAsia="Arial" w:hAnsi="Arial" w:cs="Arial"/>
                <w:i/>
                <w:color w:val="000000" w:themeColor="text1"/>
                <w:lang w:eastAsia="en-GB"/>
              </w:rPr>
              <w:t xml:space="preserve"> </w:t>
            </w:r>
            <w:r w:rsidRPr="00BB79FA">
              <w:rPr>
                <w:rFonts w:ascii="Arial" w:eastAsia="Arial" w:hAnsi="Arial" w:cs="Arial"/>
                <w:i/>
                <w:color w:val="000000" w:themeColor="text1"/>
                <w:u w:val="single"/>
                <w:lang w:eastAsia="en-GB"/>
              </w:rPr>
              <w:t xml:space="preserve">     of which: assigned a RW of 50% </w:t>
            </w:r>
          </w:p>
          <w:p w14:paraId="1B51A0C0" w14:textId="536AE4E5" w:rsidR="00686F3A" w:rsidRPr="00BB79FA" w:rsidRDefault="00686F3A" w:rsidP="700A77F6">
            <w:pPr>
              <w:spacing w:after="0" w:line="240" w:lineRule="auto"/>
              <w:rPr>
                <w:rFonts w:ascii="Arial" w:eastAsia="Arial" w:hAnsi="Arial" w:cs="Arial"/>
                <w:i/>
                <w:color w:val="000000" w:themeColor="text1"/>
                <w:lang w:eastAsia="en-GB"/>
              </w:rPr>
            </w:pPr>
          </w:p>
          <w:p w14:paraId="77072D28" w14:textId="02F545F9" w:rsidR="00686F3A" w:rsidRPr="00BB79FA" w:rsidRDefault="29E9DE11" w:rsidP="700A77F6">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Only exposures </w:t>
            </w:r>
            <w:r w:rsidR="00C26E5C" w:rsidRPr="00BB79FA">
              <w:rPr>
                <w:rFonts w:ascii="Arial" w:eastAsia="Arial" w:hAnsi="Arial" w:cs="Arial"/>
                <w:i/>
                <w:color w:val="000000" w:themeColor="text1"/>
                <w:lang w:eastAsia="en-GB"/>
              </w:rPr>
              <w:t xml:space="preserve">to SMEs </w:t>
            </w:r>
            <w:r w:rsidRPr="00BB79FA">
              <w:rPr>
                <w:rFonts w:ascii="Arial" w:eastAsia="Arial" w:hAnsi="Arial" w:cs="Arial"/>
                <w:i/>
                <w:color w:val="000000" w:themeColor="text1"/>
                <w:lang w:eastAsia="en-GB"/>
              </w:rPr>
              <w:t xml:space="preserve">that are assigned a risk weight of 50% </w:t>
            </w:r>
            <w:r w:rsidR="006E1FD5" w:rsidRPr="00BB79FA">
              <w:rPr>
                <w:rFonts w:ascii="Arial" w:eastAsia="Arial" w:hAnsi="Arial" w:cs="Arial"/>
                <w:i/>
                <w:color w:val="000000" w:themeColor="text1"/>
                <w:lang w:eastAsia="en-GB"/>
              </w:rPr>
              <w:t>in Table 6 or 6A</w:t>
            </w:r>
            <w:r w:rsidRPr="00BB79FA">
              <w:rPr>
                <w:rFonts w:ascii="Arial" w:eastAsia="Arial" w:hAnsi="Arial" w:cs="Arial"/>
                <w:i/>
                <w:color w:val="000000" w:themeColor="text1"/>
                <w:lang w:eastAsia="en-GB"/>
              </w:rPr>
              <w:t xml:space="preserve"> under Article 122 of the Credit Risk: Standardised Approach (CRR) Part</w:t>
            </w:r>
            <w:r w:rsidR="401AFD9F" w:rsidRPr="00BB79FA">
              <w:rPr>
                <w:rFonts w:ascii="Arial" w:eastAsia="Arial" w:hAnsi="Arial" w:cs="Arial"/>
                <w:i/>
                <w:color w:val="000000" w:themeColor="text1"/>
                <w:lang w:eastAsia="en-GB"/>
              </w:rPr>
              <w:t xml:space="preserve"> </w:t>
            </w:r>
            <w:r w:rsidRPr="00BB79FA">
              <w:rPr>
                <w:rFonts w:ascii="Arial" w:eastAsia="Arial" w:hAnsi="Arial" w:cs="Arial"/>
                <w:i/>
                <w:color w:val="000000" w:themeColor="text1"/>
                <w:lang w:eastAsia="en-GB"/>
              </w:rPr>
              <w:t xml:space="preserve">shall be reported here.  </w:t>
            </w:r>
          </w:p>
          <w:p w14:paraId="3D6A08E0" w14:textId="05E0B2AB" w:rsidR="00686F3A" w:rsidRPr="00BB79FA" w:rsidRDefault="00686F3A" w:rsidP="00686F3A">
            <w:pPr>
              <w:spacing w:after="0" w:line="240" w:lineRule="auto"/>
              <w:rPr>
                <w:rFonts w:ascii="Arial" w:eastAsia="Arial" w:hAnsi="Arial" w:cs="Arial"/>
                <w:i/>
                <w:color w:val="000000"/>
                <w:kern w:val="0"/>
                <w:lang w:eastAsia="en-GB"/>
                <w14:ligatures w14:val="none"/>
              </w:rPr>
            </w:pPr>
          </w:p>
        </w:tc>
      </w:tr>
      <w:tr w:rsidR="00686F3A" w:rsidRPr="00BB79FA" w14:paraId="46BE8AB7" w14:textId="77777777" w:rsidTr="005E746E">
        <w:trPr>
          <w:trHeight w:val="300"/>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54B790C6" w14:textId="777777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133</w:t>
            </w:r>
          </w:p>
        </w:tc>
        <w:tc>
          <w:tcPr>
            <w:tcW w:w="7655" w:type="dxa"/>
            <w:tcBorders>
              <w:top w:val="nil"/>
              <w:left w:val="nil"/>
              <w:bottom w:val="single" w:sz="4" w:space="0" w:color="auto"/>
              <w:right w:val="single" w:sz="4" w:space="0" w:color="auto"/>
            </w:tcBorders>
            <w:shd w:val="clear" w:color="auto" w:fill="FFFFFF" w:themeFill="background1"/>
            <w:noWrap/>
            <w:hideMark/>
          </w:tcPr>
          <w:p w14:paraId="3C752C3C" w14:textId="3C7E9D29" w:rsidR="00686F3A" w:rsidRPr="00BB79FA" w:rsidRDefault="00686F3A" w:rsidP="700A77F6">
            <w:pPr>
              <w:spacing w:after="0" w:line="240" w:lineRule="auto"/>
              <w:rPr>
                <w:rFonts w:ascii="Arial" w:eastAsia="Arial" w:hAnsi="Arial" w:cs="Arial"/>
                <w:i/>
                <w:color w:val="000000" w:themeColor="text1"/>
                <w:u w:val="single"/>
                <w:lang w:eastAsia="en-GB"/>
              </w:rPr>
            </w:pPr>
            <w:r w:rsidRPr="00BB79FA">
              <w:rPr>
                <w:rFonts w:ascii="Arial" w:eastAsia="Arial" w:hAnsi="Arial" w:cs="Arial"/>
                <w:i/>
                <w:color w:val="000000" w:themeColor="text1"/>
                <w:u w:val="single"/>
                <w:lang w:eastAsia="en-GB"/>
              </w:rPr>
              <w:t xml:space="preserve">      of which: assigned a RW of 75% </w:t>
            </w:r>
          </w:p>
          <w:p w14:paraId="62F1E993" w14:textId="41882986" w:rsidR="00686F3A" w:rsidRPr="00BB79FA" w:rsidRDefault="00686F3A" w:rsidP="700A77F6">
            <w:pPr>
              <w:spacing w:after="0" w:line="240" w:lineRule="auto"/>
              <w:rPr>
                <w:rFonts w:ascii="Arial" w:eastAsia="Arial" w:hAnsi="Arial" w:cs="Arial"/>
                <w:i/>
                <w:color w:val="000000" w:themeColor="text1"/>
                <w:lang w:eastAsia="en-GB"/>
              </w:rPr>
            </w:pPr>
          </w:p>
          <w:p w14:paraId="37A83302" w14:textId="186232F1" w:rsidR="00686F3A" w:rsidRPr="00BB79FA" w:rsidRDefault="7B771ABA" w:rsidP="10A84404">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Only exposures</w:t>
            </w:r>
            <w:r w:rsidR="00C26E5C" w:rsidRPr="00BB79FA">
              <w:rPr>
                <w:rFonts w:ascii="Arial" w:eastAsia="Arial" w:hAnsi="Arial" w:cs="Arial"/>
                <w:i/>
                <w:color w:val="000000" w:themeColor="text1"/>
                <w:lang w:eastAsia="en-GB"/>
              </w:rPr>
              <w:t xml:space="preserve"> to SMEs</w:t>
            </w:r>
            <w:r w:rsidRPr="00BB79FA">
              <w:rPr>
                <w:rFonts w:ascii="Arial" w:eastAsia="Arial" w:hAnsi="Arial" w:cs="Arial"/>
                <w:i/>
                <w:color w:val="000000" w:themeColor="text1"/>
                <w:lang w:eastAsia="en-GB"/>
              </w:rPr>
              <w:t xml:space="preserve"> that are assigned a risk weight of 75% </w:t>
            </w:r>
            <w:r w:rsidR="00237016" w:rsidRPr="00BB79FA">
              <w:rPr>
                <w:rFonts w:ascii="Arial" w:eastAsia="Arial" w:hAnsi="Arial" w:cs="Arial"/>
                <w:i/>
                <w:color w:val="000000" w:themeColor="text1"/>
                <w:lang w:eastAsia="en-GB"/>
              </w:rPr>
              <w:t xml:space="preserve">in Table 6 </w:t>
            </w:r>
            <w:r w:rsidRPr="00BB79FA">
              <w:rPr>
                <w:rFonts w:ascii="Arial" w:eastAsia="Arial" w:hAnsi="Arial" w:cs="Arial"/>
                <w:i/>
                <w:color w:val="000000" w:themeColor="text1"/>
                <w:lang w:eastAsia="en-GB"/>
              </w:rPr>
              <w:t>under Article 122 of the Credit Risk: Standardised Approach (CRR) Part</w:t>
            </w:r>
            <w:r w:rsidR="4AB2CCDA" w:rsidRPr="00BB79FA">
              <w:rPr>
                <w:rFonts w:ascii="Arial" w:eastAsia="Arial" w:hAnsi="Arial" w:cs="Arial"/>
                <w:i/>
                <w:color w:val="000000" w:themeColor="text1"/>
                <w:lang w:eastAsia="en-GB"/>
              </w:rPr>
              <w:t xml:space="preserve"> </w:t>
            </w:r>
            <w:r w:rsidRPr="00BB79FA">
              <w:rPr>
                <w:rFonts w:ascii="Arial" w:eastAsia="Arial" w:hAnsi="Arial" w:cs="Arial"/>
                <w:i/>
                <w:color w:val="000000" w:themeColor="text1"/>
                <w:lang w:eastAsia="en-GB"/>
              </w:rPr>
              <w:t xml:space="preserve">shall be reported here.  </w:t>
            </w:r>
          </w:p>
          <w:p w14:paraId="2139F025" w14:textId="2546FC90" w:rsidR="00686F3A" w:rsidRPr="00BB79FA" w:rsidRDefault="00686F3A" w:rsidP="00686F3A">
            <w:pPr>
              <w:spacing w:after="0" w:line="240" w:lineRule="auto"/>
              <w:rPr>
                <w:rFonts w:ascii="Arial" w:eastAsia="Arial" w:hAnsi="Arial" w:cs="Arial"/>
                <w:i/>
                <w:color w:val="000000"/>
                <w:kern w:val="0"/>
                <w:lang w:eastAsia="en-GB"/>
                <w14:ligatures w14:val="none"/>
              </w:rPr>
            </w:pPr>
          </w:p>
        </w:tc>
      </w:tr>
      <w:tr w:rsidR="00686F3A" w:rsidRPr="00BB79FA" w14:paraId="35D6396B" w14:textId="77777777" w:rsidTr="005E746E">
        <w:trPr>
          <w:trHeight w:val="300"/>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16DC6F11" w14:textId="777777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134</w:t>
            </w:r>
          </w:p>
        </w:tc>
        <w:tc>
          <w:tcPr>
            <w:tcW w:w="7655" w:type="dxa"/>
            <w:tcBorders>
              <w:top w:val="nil"/>
              <w:left w:val="nil"/>
              <w:bottom w:val="single" w:sz="4" w:space="0" w:color="auto"/>
              <w:right w:val="single" w:sz="4" w:space="0" w:color="auto"/>
            </w:tcBorders>
            <w:shd w:val="clear" w:color="auto" w:fill="FFFFFF" w:themeFill="background1"/>
            <w:noWrap/>
            <w:hideMark/>
          </w:tcPr>
          <w:p w14:paraId="53050F03" w14:textId="489C7954" w:rsidR="00686F3A" w:rsidRPr="00BB79FA" w:rsidRDefault="00686F3A" w:rsidP="5DCD4FFE">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u w:val="single"/>
                <w:lang w:eastAsia="en-GB"/>
              </w:rPr>
              <w:t xml:space="preserve">      of which: assigned a RW of 85% </w:t>
            </w:r>
          </w:p>
          <w:p w14:paraId="12E48EEE" w14:textId="395A5BAA" w:rsidR="00686F3A" w:rsidRPr="00BB79FA" w:rsidRDefault="00686F3A" w:rsidP="5DCD4FFE">
            <w:pPr>
              <w:spacing w:after="0" w:line="240" w:lineRule="auto"/>
              <w:rPr>
                <w:rFonts w:ascii="Arial" w:eastAsia="Arial" w:hAnsi="Arial" w:cs="Arial"/>
                <w:i/>
                <w:color w:val="000000" w:themeColor="text1"/>
                <w:lang w:eastAsia="en-GB"/>
              </w:rPr>
            </w:pPr>
          </w:p>
          <w:p w14:paraId="6FC0E16E" w14:textId="5CFAF083" w:rsidR="00686F3A" w:rsidRPr="00BB79FA" w:rsidRDefault="0592619B" w:rsidP="5DCD4FFE">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Only exposures</w:t>
            </w:r>
            <w:r w:rsidR="00C26E5C" w:rsidRPr="00BB79FA">
              <w:rPr>
                <w:rFonts w:ascii="Arial" w:eastAsia="Arial" w:hAnsi="Arial" w:cs="Arial"/>
                <w:i/>
                <w:color w:val="000000" w:themeColor="text1"/>
                <w:lang w:eastAsia="en-GB"/>
              </w:rPr>
              <w:t xml:space="preserve"> to SMEs</w:t>
            </w:r>
            <w:r w:rsidRPr="00BB79FA">
              <w:rPr>
                <w:rFonts w:ascii="Arial" w:eastAsia="Arial" w:hAnsi="Arial" w:cs="Arial"/>
                <w:i/>
                <w:color w:val="000000" w:themeColor="text1"/>
                <w:lang w:eastAsia="en-GB"/>
              </w:rPr>
              <w:t xml:space="preserve"> that are assigned a risk weight of 85% under Article 122</w:t>
            </w:r>
            <w:r w:rsidR="009E795F" w:rsidRPr="00BB79FA">
              <w:rPr>
                <w:rFonts w:ascii="Arial" w:eastAsia="Arial" w:hAnsi="Arial" w:cs="Arial"/>
                <w:i/>
                <w:color w:val="000000" w:themeColor="text1"/>
                <w:lang w:eastAsia="en-GB"/>
              </w:rPr>
              <w:t>(11)</w:t>
            </w:r>
            <w:r w:rsidRPr="00BB79FA">
              <w:rPr>
                <w:rFonts w:ascii="Arial" w:eastAsia="Arial" w:hAnsi="Arial" w:cs="Arial"/>
                <w:i/>
                <w:color w:val="000000" w:themeColor="text1"/>
                <w:lang w:eastAsia="en-GB"/>
              </w:rPr>
              <w:t xml:space="preserve"> of the Credit Risk: Standardised Approach (CRR) Part</w:t>
            </w:r>
            <w:r w:rsidR="7822B963" w:rsidRPr="00BB79FA">
              <w:rPr>
                <w:rFonts w:ascii="Arial" w:eastAsia="Arial" w:hAnsi="Arial" w:cs="Arial"/>
                <w:i/>
                <w:color w:val="000000" w:themeColor="text1"/>
                <w:lang w:eastAsia="en-GB"/>
              </w:rPr>
              <w:t xml:space="preserve"> </w:t>
            </w:r>
            <w:r w:rsidRPr="00BB79FA">
              <w:rPr>
                <w:rFonts w:ascii="Arial" w:eastAsia="Arial" w:hAnsi="Arial" w:cs="Arial"/>
                <w:i/>
                <w:color w:val="000000" w:themeColor="text1"/>
                <w:lang w:eastAsia="en-GB"/>
              </w:rPr>
              <w:t xml:space="preserve">shall be reported here.  </w:t>
            </w:r>
          </w:p>
          <w:p w14:paraId="219D97D3" w14:textId="56990DAB" w:rsidR="00686F3A" w:rsidRPr="00BB79FA" w:rsidRDefault="00686F3A" w:rsidP="00686F3A">
            <w:pPr>
              <w:spacing w:after="0" w:line="240" w:lineRule="auto"/>
              <w:rPr>
                <w:rFonts w:ascii="Arial" w:eastAsia="Arial" w:hAnsi="Arial" w:cs="Arial"/>
                <w:i/>
                <w:color w:val="000000"/>
                <w:kern w:val="0"/>
                <w:lang w:eastAsia="en-GB"/>
                <w14:ligatures w14:val="none"/>
              </w:rPr>
            </w:pPr>
          </w:p>
        </w:tc>
      </w:tr>
      <w:tr w:rsidR="00686F3A" w:rsidRPr="00BB79FA" w14:paraId="11B44694" w14:textId="77777777" w:rsidTr="005E746E">
        <w:trPr>
          <w:trHeight w:val="300"/>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76658773" w14:textId="777777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135</w:t>
            </w:r>
          </w:p>
        </w:tc>
        <w:tc>
          <w:tcPr>
            <w:tcW w:w="7655" w:type="dxa"/>
            <w:tcBorders>
              <w:top w:val="nil"/>
              <w:left w:val="nil"/>
              <w:bottom w:val="single" w:sz="4" w:space="0" w:color="auto"/>
              <w:right w:val="single" w:sz="4" w:space="0" w:color="auto"/>
            </w:tcBorders>
            <w:shd w:val="clear" w:color="auto" w:fill="FFFFFF" w:themeFill="background1"/>
            <w:noWrap/>
            <w:hideMark/>
          </w:tcPr>
          <w:p w14:paraId="00C307DB" w14:textId="6547C15B" w:rsidR="00686F3A" w:rsidRPr="00BB79FA" w:rsidRDefault="00686F3A" w:rsidP="700A77F6">
            <w:pPr>
              <w:spacing w:after="0" w:line="240" w:lineRule="auto"/>
              <w:rPr>
                <w:rFonts w:ascii="Arial" w:eastAsia="Arial" w:hAnsi="Arial" w:cs="Arial"/>
                <w:i/>
                <w:color w:val="000000" w:themeColor="text1"/>
                <w:u w:val="single"/>
                <w:lang w:eastAsia="en-GB"/>
              </w:rPr>
            </w:pPr>
            <w:r w:rsidRPr="00BB79FA">
              <w:rPr>
                <w:rFonts w:ascii="Arial" w:eastAsia="Arial" w:hAnsi="Arial" w:cs="Arial"/>
                <w:i/>
                <w:color w:val="000000" w:themeColor="text1"/>
                <w:u w:val="single"/>
                <w:lang w:eastAsia="en-GB"/>
              </w:rPr>
              <w:t xml:space="preserve">      of which: assigned a RW of 100% </w:t>
            </w:r>
          </w:p>
          <w:p w14:paraId="2CC23AAF" w14:textId="66A87033" w:rsidR="00686F3A" w:rsidRPr="00BB79FA" w:rsidRDefault="00686F3A" w:rsidP="700A77F6">
            <w:pPr>
              <w:spacing w:after="0" w:line="240" w:lineRule="auto"/>
              <w:rPr>
                <w:rFonts w:ascii="Arial" w:eastAsia="Arial" w:hAnsi="Arial" w:cs="Arial"/>
                <w:i/>
                <w:color w:val="000000" w:themeColor="text1"/>
                <w:lang w:eastAsia="en-GB"/>
              </w:rPr>
            </w:pPr>
          </w:p>
          <w:p w14:paraId="21EB9F60" w14:textId="29F6AFFF" w:rsidR="00686F3A" w:rsidRPr="00BB79FA" w:rsidRDefault="6B43EAF9" w:rsidP="700A77F6">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Only exposures</w:t>
            </w:r>
            <w:r w:rsidR="00C26E5C" w:rsidRPr="00BB79FA">
              <w:rPr>
                <w:rFonts w:ascii="Arial" w:eastAsia="Arial" w:hAnsi="Arial" w:cs="Arial"/>
                <w:i/>
                <w:color w:val="000000" w:themeColor="text1"/>
                <w:lang w:eastAsia="en-GB"/>
              </w:rPr>
              <w:t xml:space="preserve"> to SMEs</w:t>
            </w:r>
            <w:r w:rsidRPr="00BB79FA">
              <w:rPr>
                <w:rFonts w:ascii="Arial" w:eastAsia="Arial" w:hAnsi="Arial" w:cs="Arial"/>
                <w:i/>
                <w:color w:val="000000" w:themeColor="text1"/>
                <w:lang w:eastAsia="en-GB"/>
              </w:rPr>
              <w:t xml:space="preserve"> that are assigned a risk weight of 100% </w:t>
            </w:r>
            <w:r w:rsidR="007768FB" w:rsidRPr="00BB79FA">
              <w:rPr>
                <w:rFonts w:ascii="Arial" w:eastAsia="Arial" w:hAnsi="Arial" w:cs="Arial"/>
                <w:i/>
                <w:color w:val="000000" w:themeColor="text1"/>
                <w:lang w:eastAsia="en-GB"/>
              </w:rPr>
              <w:t xml:space="preserve">in Table 6 or 6A </w:t>
            </w:r>
            <w:r w:rsidRPr="00BB79FA">
              <w:rPr>
                <w:rFonts w:ascii="Arial" w:eastAsia="Arial" w:hAnsi="Arial" w:cs="Arial"/>
                <w:i/>
                <w:color w:val="000000" w:themeColor="text1"/>
                <w:lang w:eastAsia="en-GB"/>
              </w:rPr>
              <w:t>under Article 122 of the Credit Risk: Standardised Approach (CRR) Part</w:t>
            </w:r>
            <w:r w:rsidR="56735C82" w:rsidRPr="00BB79FA">
              <w:rPr>
                <w:rFonts w:ascii="Arial" w:eastAsia="Arial" w:hAnsi="Arial" w:cs="Arial"/>
                <w:i/>
                <w:color w:val="000000" w:themeColor="text1"/>
                <w:lang w:eastAsia="en-GB"/>
              </w:rPr>
              <w:t xml:space="preserve"> </w:t>
            </w:r>
            <w:r w:rsidRPr="00BB79FA">
              <w:rPr>
                <w:rFonts w:ascii="Arial" w:eastAsia="Arial" w:hAnsi="Arial" w:cs="Arial"/>
                <w:i/>
                <w:color w:val="000000" w:themeColor="text1"/>
                <w:lang w:eastAsia="en-GB"/>
              </w:rPr>
              <w:t xml:space="preserve">shall be reported here.  </w:t>
            </w:r>
          </w:p>
          <w:p w14:paraId="300A2EDB" w14:textId="53135A33" w:rsidR="00686F3A" w:rsidRPr="00BB79FA" w:rsidRDefault="00686F3A" w:rsidP="00686F3A">
            <w:pPr>
              <w:spacing w:after="0" w:line="240" w:lineRule="auto"/>
              <w:rPr>
                <w:rFonts w:ascii="Arial" w:eastAsia="Arial" w:hAnsi="Arial" w:cs="Arial"/>
                <w:i/>
                <w:color w:val="000000"/>
                <w:kern w:val="0"/>
                <w:lang w:eastAsia="en-GB"/>
                <w14:ligatures w14:val="none"/>
              </w:rPr>
            </w:pPr>
          </w:p>
        </w:tc>
      </w:tr>
      <w:tr w:rsidR="00686F3A" w:rsidRPr="00BB79FA" w14:paraId="0D24AA01" w14:textId="77777777" w:rsidTr="005E746E">
        <w:trPr>
          <w:trHeight w:val="300"/>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4C044606" w14:textId="777777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136</w:t>
            </w:r>
          </w:p>
        </w:tc>
        <w:tc>
          <w:tcPr>
            <w:tcW w:w="7655" w:type="dxa"/>
            <w:tcBorders>
              <w:top w:val="nil"/>
              <w:left w:val="nil"/>
              <w:bottom w:val="single" w:sz="4" w:space="0" w:color="auto"/>
              <w:right w:val="single" w:sz="4" w:space="0" w:color="auto"/>
            </w:tcBorders>
            <w:shd w:val="clear" w:color="auto" w:fill="FFFFFF" w:themeFill="background1"/>
            <w:noWrap/>
            <w:hideMark/>
          </w:tcPr>
          <w:p w14:paraId="03B7D98B" w14:textId="073B5977" w:rsidR="00686F3A" w:rsidRPr="00BB79FA" w:rsidRDefault="00686F3A" w:rsidP="5DCD4FFE">
            <w:pPr>
              <w:spacing w:after="0" w:line="240" w:lineRule="auto"/>
              <w:rPr>
                <w:rFonts w:ascii="Arial" w:eastAsia="Arial" w:hAnsi="Arial" w:cs="Arial"/>
                <w:i/>
                <w:color w:val="000000" w:themeColor="text1"/>
                <w:u w:val="single"/>
                <w:lang w:eastAsia="en-GB"/>
              </w:rPr>
            </w:pPr>
            <w:r w:rsidRPr="00BB79FA">
              <w:rPr>
                <w:rFonts w:ascii="Arial" w:eastAsia="Arial" w:hAnsi="Arial" w:cs="Arial"/>
                <w:i/>
                <w:color w:val="000000" w:themeColor="text1"/>
                <w:u w:val="single"/>
                <w:lang w:eastAsia="en-GB"/>
              </w:rPr>
              <w:t xml:space="preserve">      of which: assigned a RW of 150% </w:t>
            </w:r>
          </w:p>
          <w:p w14:paraId="386CE8DF" w14:textId="3ECD8911" w:rsidR="00686F3A" w:rsidRPr="00BB79FA" w:rsidRDefault="00686F3A" w:rsidP="5DCD4FFE">
            <w:pPr>
              <w:spacing w:after="0" w:line="240" w:lineRule="auto"/>
              <w:rPr>
                <w:rFonts w:ascii="Arial" w:eastAsia="Arial" w:hAnsi="Arial" w:cs="Arial"/>
                <w:i/>
                <w:color w:val="000000" w:themeColor="text1"/>
                <w:lang w:eastAsia="en-GB"/>
              </w:rPr>
            </w:pPr>
          </w:p>
          <w:p w14:paraId="7718F49A" w14:textId="03D18F8C" w:rsidR="00686F3A" w:rsidRPr="00BB79FA" w:rsidRDefault="73289CDB" w:rsidP="3E608E9F">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lastRenderedPageBreak/>
              <w:t>Only exposures</w:t>
            </w:r>
            <w:r w:rsidR="00C26E5C" w:rsidRPr="00BB79FA">
              <w:rPr>
                <w:rFonts w:ascii="Arial" w:eastAsia="Arial" w:hAnsi="Arial" w:cs="Arial"/>
                <w:i/>
                <w:color w:val="000000" w:themeColor="text1"/>
                <w:lang w:eastAsia="en-GB"/>
              </w:rPr>
              <w:t xml:space="preserve"> to SMEs</w:t>
            </w:r>
            <w:r w:rsidRPr="00BB79FA">
              <w:rPr>
                <w:rFonts w:ascii="Arial" w:eastAsia="Arial" w:hAnsi="Arial" w:cs="Arial"/>
                <w:i/>
                <w:color w:val="000000" w:themeColor="text1"/>
                <w:lang w:eastAsia="en-GB"/>
              </w:rPr>
              <w:t xml:space="preserve"> that are assigned a risk weight of 150% </w:t>
            </w:r>
            <w:r w:rsidR="004273BF" w:rsidRPr="00BB79FA">
              <w:rPr>
                <w:rFonts w:ascii="Arial" w:eastAsia="Arial" w:hAnsi="Arial" w:cs="Arial"/>
                <w:i/>
                <w:color w:val="000000" w:themeColor="text1"/>
                <w:lang w:eastAsia="en-GB"/>
              </w:rPr>
              <w:t>in Table 6 or 6A</w:t>
            </w:r>
            <w:r w:rsidRPr="00BB79FA">
              <w:rPr>
                <w:rFonts w:ascii="Arial" w:eastAsia="Arial" w:hAnsi="Arial" w:cs="Arial"/>
                <w:i/>
                <w:color w:val="000000" w:themeColor="text1"/>
                <w:lang w:eastAsia="en-GB"/>
              </w:rPr>
              <w:t xml:space="preserve"> </w:t>
            </w:r>
            <w:r w:rsidR="00B3663E" w:rsidRPr="00BB79FA">
              <w:rPr>
                <w:rFonts w:ascii="Arial" w:eastAsia="Arial" w:hAnsi="Arial" w:cs="Arial"/>
                <w:i/>
                <w:color w:val="000000" w:themeColor="text1"/>
                <w:lang w:eastAsia="en-GB"/>
              </w:rPr>
              <w:t>under</w:t>
            </w:r>
            <w:r w:rsidRPr="00BB79FA">
              <w:rPr>
                <w:rFonts w:ascii="Arial" w:eastAsia="Arial" w:hAnsi="Arial" w:cs="Arial"/>
                <w:i/>
                <w:color w:val="000000" w:themeColor="text1"/>
                <w:lang w:eastAsia="en-GB"/>
              </w:rPr>
              <w:t xml:space="preserve"> Article 122 of the Credit Risk: Standardised Approach (CRR) Part</w:t>
            </w:r>
            <w:r w:rsidR="1787D962" w:rsidRPr="00BB79FA">
              <w:rPr>
                <w:rFonts w:ascii="Arial" w:eastAsia="Arial" w:hAnsi="Arial" w:cs="Arial"/>
                <w:i/>
                <w:color w:val="000000" w:themeColor="text1"/>
                <w:lang w:eastAsia="en-GB"/>
              </w:rPr>
              <w:t xml:space="preserve"> </w:t>
            </w:r>
            <w:r w:rsidRPr="00BB79FA">
              <w:rPr>
                <w:rFonts w:ascii="Arial" w:eastAsia="Arial" w:hAnsi="Arial" w:cs="Arial"/>
                <w:i/>
                <w:color w:val="000000" w:themeColor="text1"/>
                <w:lang w:eastAsia="en-GB"/>
              </w:rPr>
              <w:t xml:space="preserve">shall be reported here.  </w:t>
            </w:r>
          </w:p>
          <w:p w14:paraId="5AFF3F1A" w14:textId="6D906107" w:rsidR="00686F3A" w:rsidRPr="00BB79FA" w:rsidRDefault="00686F3A" w:rsidP="00686F3A">
            <w:pPr>
              <w:spacing w:after="0" w:line="240" w:lineRule="auto"/>
              <w:rPr>
                <w:rFonts w:ascii="Arial" w:eastAsia="Arial" w:hAnsi="Arial" w:cs="Arial"/>
                <w:i/>
                <w:color w:val="000000"/>
                <w:kern w:val="0"/>
                <w:lang w:eastAsia="en-GB"/>
                <w14:ligatures w14:val="none"/>
              </w:rPr>
            </w:pPr>
          </w:p>
        </w:tc>
      </w:tr>
      <w:tr w:rsidR="00686F3A" w:rsidRPr="00BB79FA" w14:paraId="388CB3E9" w14:textId="77777777" w:rsidTr="005E746E">
        <w:trPr>
          <w:trHeight w:val="276"/>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529AAEDF" w14:textId="777777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lastRenderedPageBreak/>
              <w:t>140</w:t>
            </w:r>
          </w:p>
        </w:tc>
        <w:tc>
          <w:tcPr>
            <w:tcW w:w="7655" w:type="dxa"/>
            <w:tcBorders>
              <w:top w:val="nil"/>
              <w:left w:val="nil"/>
              <w:bottom w:val="single" w:sz="4" w:space="0" w:color="auto"/>
              <w:right w:val="single" w:sz="4" w:space="0" w:color="auto"/>
            </w:tcBorders>
            <w:shd w:val="clear" w:color="auto" w:fill="FFFFFF" w:themeFill="background1"/>
            <w:noWrap/>
            <w:hideMark/>
          </w:tcPr>
          <w:p w14:paraId="28691B7A" w14:textId="32BBEC49" w:rsidR="00686F3A" w:rsidRPr="00BB79FA" w:rsidRDefault="6C1E5FAF" w:rsidP="48BE3DF6">
            <w:pPr>
              <w:spacing w:after="0" w:line="240" w:lineRule="auto"/>
              <w:rPr>
                <w:rFonts w:ascii="Arial" w:eastAsia="Arial" w:hAnsi="Arial" w:cs="Arial"/>
                <w:b/>
                <w:i/>
                <w:color w:val="000000" w:themeColor="text1"/>
                <w:u w:val="single"/>
                <w:lang w:eastAsia="en-GB"/>
              </w:rPr>
            </w:pPr>
            <w:r w:rsidRPr="00BB79FA">
              <w:rPr>
                <w:rFonts w:ascii="Arial" w:eastAsia="Arial" w:hAnsi="Arial" w:cs="Arial"/>
                <w:b/>
                <w:i/>
                <w:color w:val="000000"/>
                <w:kern w:val="0"/>
                <w:u w:val="single"/>
                <w:lang w:eastAsia="en-GB"/>
                <w14:ligatures w14:val="none"/>
              </w:rPr>
              <w:t xml:space="preserve">   of which: regulatory CRE MDCFP exposures - SMEs </w:t>
            </w:r>
          </w:p>
          <w:p w14:paraId="203D8AFD" w14:textId="48C298A5" w:rsidR="00686F3A" w:rsidRPr="00BB79FA" w:rsidRDefault="00686F3A" w:rsidP="48BE3DF6">
            <w:pPr>
              <w:spacing w:after="0" w:line="240" w:lineRule="auto"/>
              <w:rPr>
                <w:rFonts w:ascii="Arial" w:eastAsia="Arial" w:hAnsi="Arial" w:cs="Arial"/>
                <w:b/>
                <w:i/>
                <w:color w:val="000000" w:themeColor="text1"/>
                <w:lang w:eastAsia="en-GB"/>
              </w:rPr>
            </w:pPr>
          </w:p>
          <w:p w14:paraId="3615CA00" w14:textId="2BBF0AB8" w:rsidR="00686F3A" w:rsidRPr="00BB79FA" w:rsidRDefault="3EB0A6CD" w:rsidP="48BE3DF6">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Sub-total row of rows 141 and 142.</w:t>
            </w:r>
          </w:p>
          <w:p w14:paraId="51044D7C" w14:textId="0EDF4EF8" w:rsidR="00686F3A" w:rsidRPr="00BB79FA" w:rsidRDefault="00686F3A" w:rsidP="48BE3DF6">
            <w:pPr>
              <w:spacing w:after="0" w:line="240" w:lineRule="auto"/>
              <w:rPr>
                <w:rFonts w:ascii="Arial" w:eastAsia="Arial" w:hAnsi="Arial" w:cs="Arial"/>
                <w:b/>
                <w:i/>
                <w:color w:val="000000" w:themeColor="text1"/>
                <w:lang w:eastAsia="en-GB"/>
              </w:rPr>
            </w:pPr>
          </w:p>
          <w:p w14:paraId="0D23D7F0" w14:textId="77777777" w:rsidR="003255E2" w:rsidRPr="00BB79FA" w:rsidRDefault="003255E2" w:rsidP="003255E2">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This row will be calculated by a formula, firms do not need to report here.</w:t>
            </w:r>
          </w:p>
          <w:p w14:paraId="133377EE" w14:textId="26ECEDDD" w:rsidR="00686F3A" w:rsidRPr="00BB79FA" w:rsidRDefault="00686F3A" w:rsidP="00E878FF">
            <w:pPr>
              <w:spacing w:after="0" w:line="240" w:lineRule="auto"/>
              <w:rPr>
                <w:rFonts w:ascii="Arial" w:eastAsia="Arial" w:hAnsi="Arial" w:cs="Arial"/>
                <w:b/>
                <w:i/>
                <w:color w:val="000000"/>
                <w:kern w:val="0"/>
                <w:lang w:eastAsia="en-GB"/>
                <w14:ligatures w14:val="none"/>
              </w:rPr>
            </w:pPr>
          </w:p>
        </w:tc>
      </w:tr>
      <w:tr w:rsidR="00686F3A" w:rsidRPr="00BB79FA" w14:paraId="39888149" w14:textId="77777777" w:rsidTr="005E746E">
        <w:trPr>
          <w:trHeight w:val="276"/>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08DED24E" w14:textId="777777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141</w:t>
            </w:r>
          </w:p>
        </w:tc>
        <w:tc>
          <w:tcPr>
            <w:tcW w:w="7655" w:type="dxa"/>
            <w:tcBorders>
              <w:top w:val="nil"/>
              <w:left w:val="nil"/>
              <w:bottom w:val="single" w:sz="4" w:space="0" w:color="auto"/>
              <w:right w:val="single" w:sz="4" w:space="0" w:color="auto"/>
            </w:tcBorders>
            <w:shd w:val="clear" w:color="auto" w:fill="FFFFFF" w:themeFill="background1"/>
            <w:noWrap/>
            <w:hideMark/>
          </w:tcPr>
          <w:p w14:paraId="26BF5AE2" w14:textId="77777777" w:rsidR="00686F3A" w:rsidRPr="00BB79FA" w:rsidRDefault="00686F3A" w:rsidP="088FD2F0">
            <w:pPr>
              <w:spacing w:after="0" w:line="240" w:lineRule="auto"/>
              <w:rPr>
                <w:rFonts w:ascii="Arial" w:eastAsia="Arial" w:hAnsi="Arial" w:cs="Arial"/>
                <w:i/>
                <w:color w:val="000000" w:themeColor="text1"/>
                <w:u w:val="single"/>
                <w:lang w:eastAsia="en-GB"/>
              </w:rPr>
            </w:pPr>
            <w:r w:rsidRPr="00BB79FA">
              <w:rPr>
                <w:rFonts w:ascii="Arial" w:eastAsia="Arial" w:hAnsi="Arial" w:cs="Arial"/>
                <w:i/>
                <w:color w:val="000000"/>
                <w:kern w:val="0"/>
                <w:u w:val="single"/>
                <w:lang w:eastAsia="en-GB"/>
                <w14:ligatures w14:val="none"/>
              </w:rPr>
              <w:t xml:space="preserve">      of which: assigned a RW of 100% </w:t>
            </w:r>
          </w:p>
          <w:p w14:paraId="37B931D0" w14:textId="1012AA94" w:rsidR="00686F3A" w:rsidRPr="00BB79FA" w:rsidRDefault="00686F3A" w:rsidP="088FD2F0">
            <w:pPr>
              <w:spacing w:after="0" w:line="240" w:lineRule="auto"/>
              <w:rPr>
                <w:rFonts w:ascii="Arial" w:eastAsia="Arial" w:hAnsi="Arial" w:cs="Arial"/>
                <w:i/>
                <w:color w:val="000000" w:themeColor="text1"/>
                <w:lang w:eastAsia="en-GB"/>
              </w:rPr>
            </w:pPr>
          </w:p>
          <w:p w14:paraId="19B7FA6D" w14:textId="1283BAB6" w:rsidR="00686F3A" w:rsidRPr="00BB79FA" w:rsidRDefault="4E3C9D6C"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O</w:t>
            </w:r>
            <w:r w:rsidR="44BC8E89" w:rsidRPr="00BB79FA">
              <w:rPr>
                <w:rFonts w:ascii="Arial" w:eastAsia="Arial" w:hAnsi="Arial" w:cs="Arial"/>
                <w:i/>
                <w:color w:val="000000" w:themeColor="text1"/>
                <w:lang w:eastAsia="en-GB"/>
              </w:rPr>
              <w:t xml:space="preserve">nly exposures that are: </w:t>
            </w:r>
          </w:p>
          <w:p w14:paraId="1B01D2E6" w14:textId="743E014F" w:rsidR="00686F3A" w:rsidRPr="00BB79FA" w:rsidRDefault="00686F3A" w:rsidP="00E878FF">
            <w:pPr>
              <w:spacing w:after="0" w:line="240" w:lineRule="auto"/>
              <w:rPr>
                <w:rFonts w:ascii="Arial" w:eastAsia="Arial" w:hAnsi="Arial" w:cs="Arial"/>
                <w:i/>
                <w:color w:val="000000" w:themeColor="text1"/>
                <w:lang w:eastAsia="en-GB"/>
              </w:rPr>
            </w:pPr>
          </w:p>
          <w:p w14:paraId="39DB3AC7" w14:textId="0D7E945C" w:rsidR="00686F3A" w:rsidRPr="00BB79FA" w:rsidRDefault="44BC8E89" w:rsidP="00A23969">
            <w:pPr>
              <w:pStyle w:val="ListParagraph"/>
              <w:numPr>
                <w:ilvl w:val="0"/>
                <w:numId w:val="36"/>
              </w:num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classified as materially dependent on the cash</w:t>
            </w:r>
            <w:r w:rsidR="00256B22">
              <w:rPr>
                <w:rFonts w:ascii="Arial" w:eastAsia="Arial" w:hAnsi="Arial" w:cs="Arial"/>
                <w:i/>
                <w:color w:val="000000" w:themeColor="text1"/>
                <w:lang w:eastAsia="en-GB"/>
              </w:rPr>
              <w:t>-</w:t>
            </w:r>
            <w:r w:rsidRPr="00BB79FA">
              <w:rPr>
                <w:rFonts w:ascii="Arial" w:eastAsia="Arial" w:hAnsi="Arial" w:cs="Arial"/>
                <w:i/>
                <w:color w:val="000000" w:themeColor="text1"/>
                <w:lang w:eastAsia="en-GB"/>
              </w:rPr>
              <w:t>flows generated by the property under Article 124E of the Credit Risk: Standardised Approach (CRR) Part; and</w:t>
            </w:r>
          </w:p>
          <w:p w14:paraId="58240EB2" w14:textId="78C1E331" w:rsidR="00686F3A" w:rsidRPr="00BB79FA" w:rsidRDefault="00686F3A" w:rsidP="088FD2F0">
            <w:pPr>
              <w:pStyle w:val="ListParagraph"/>
              <w:spacing w:after="0" w:line="240" w:lineRule="auto"/>
              <w:rPr>
                <w:rFonts w:ascii="Arial" w:eastAsia="Arial" w:hAnsi="Arial" w:cs="Arial"/>
                <w:i/>
                <w:color w:val="000000" w:themeColor="text1"/>
                <w:lang w:eastAsia="en-GB"/>
              </w:rPr>
            </w:pPr>
          </w:p>
          <w:p w14:paraId="2BA3464A" w14:textId="073AAB7A" w:rsidR="00686F3A" w:rsidRPr="00BB79FA" w:rsidRDefault="44BC8E89" w:rsidP="00A23969">
            <w:pPr>
              <w:pStyle w:val="ListParagraph"/>
              <w:numPr>
                <w:ilvl w:val="0"/>
                <w:numId w:val="36"/>
              </w:num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assigned a risk weight of 100% under Article 124I(1) of the Credit Risk: Standardised Approach (CRR) Part, </w:t>
            </w:r>
          </w:p>
          <w:p w14:paraId="164F6D26" w14:textId="3BC5978A" w:rsidR="00686F3A" w:rsidRPr="00BB79FA" w:rsidRDefault="00686F3A" w:rsidP="088FD2F0">
            <w:pPr>
              <w:spacing w:after="0" w:line="240" w:lineRule="auto"/>
              <w:rPr>
                <w:rFonts w:ascii="Arial" w:eastAsia="Arial" w:hAnsi="Arial" w:cs="Arial"/>
                <w:i/>
                <w:color w:val="000000" w:themeColor="text1"/>
                <w:lang w:eastAsia="en-GB"/>
              </w:rPr>
            </w:pPr>
          </w:p>
          <w:p w14:paraId="359A3FB9" w14:textId="1EC213BB" w:rsidR="00686F3A" w:rsidRPr="00BB79FA" w:rsidRDefault="44BC8E89"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shall be reported here.</w:t>
            </w:r>
          </w:p>
          <w:p w14:paraId="6736B9F3" w14:textId="4CB6D618" w:rsidR="00686F3A" w:rsidRPr="00BB79FA" w:rsidRDefault="00686F3A" w:rsidP="00686F3A">
            <w:pPr>
              <w:spacing w:after="0" w:line="240" w:lineRule="auto"/>
              <w:rPr>
                <w:rFonts w:ascii="Arial" w:eastAsia="Arial" w:hAnsi="Arial" w:cs="Arial"/>
                <w:i/>
                <w:color w:val="000000"/>
                <w:kern w:val="0"/>
                <w:lang w:eastAsia="en-GB"/>
                <w14:ligatures w14:val="none"/>
              </w:rPr>
            </w:pPr>
          </w:p>
        </w:tc>
      </w:tr>
      <w:tr w:rsidR="00686F3A" w:rsidRPr="00BB79FA" w14:paraId="37AF2F4A" w14:textId="77777777" w:rsidTr="005E746E">
        <w:trPr>
          <w:trHeight w:val="276"/>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44D49779" w14:textId="777777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142</w:t>
            </w:r>
          </w:p>
        </w:tc>
        <w:tc>
          <w:tcPr>
            <w:tcW w:w="7655" w:type="dxa"/>
            <w:tcBorders>
              <w:top w:val="nil"/>
              <w:left w:val="nil"/>
              <w:bottom w:val="single" w:sz="4" w:space="0" w:color="auto"/>
              <w:right w:val="single" w:sz="4" w:space="0" w:color="auto"/>
            </w:tcBorders>
            <w:shd w:val="clear" w:color="auto" w:fill="FFFFFF" w:themeFill="background1"/>
            <w:noWrap/>
            <w:hideMark/>
          </w:tcPr>
          <w:p w14:paraId="0F1E4B05" w14:textId="77777777" w:rsidR="00686F3A" w:rsidRPr="00BB79FA" w:rsidRDefault="00686F3A" w:rsidP="088FD2F0">
            <w:pPr>
              <w:spacing w:after="0" w:line="240" w:lineRule="auto"/>
              <w:rPr>
                <w:rFonts w:ascii="Arial" w:eastAsia="Arial" w:hAnsi="Arial" w:cs="Arial"/>
                <w:i/>
                <w:color w:val="000000" w:themeColor="text1"/>
                <w:u w:val="single"/>
                <w:lang w:eastAsia="en-GB"/>
              </w:rPr>
            </w:pPr>
            <w:r w:rsidRPr="00BB79FA">
              <w:rPr>
                <w:rFonts w:ascii="Arial" w:eastAsia="Arial" w:hAnsi="Arial" w:cs="Arial"/>
                <w:i/>
                <w:color w:val="000000"/>
                <w:kern w:val="0"/>
                <w:u w:val="single"/>
                <w:lang w:eastAsia="en-GB"/>
                <w14:ligatures w14:val="none"/>
              </w:rPr>
              <w:t xml:space="preserve">      of which: assigned a RW of 110% </w:t>
            </w:r>
          </w:p>
          <w:p w14:paraId="5A0A3F9A" w14:textId="2FFF3518" w:rsidR="00686F3A" w:rsidRPr="00BB79FA" w:rsidRDefault="00686F3A" w:rsidP="088FD2F0">
            <w:pPr>
              <w:spacing w:after="0" w:line="240" w:lineRule="auto"/>
              <w:rPr>
                <w:rFonts w:ascii="Arial" w:eastAsia="Arial" w:hAnsi="Arial" w:cs="Arial"/>
                <w:i/>
                <w:color w:val="000000" w:themeColor="text1"/>
                <w:lang w:eastAsia="en-GB"/>
              </w:rPr>
            </w:pPr>
          </w:p>
          <w:p w14:paraId="50ADEBEF" w14:textId="65F022A0" w:rsidR="00686F3A" w:rsidRPr="00BB79FA" w:rsidRDefault="7C366A31" w:rsidP="00431269">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O</w:t>
            </w:r>
            <w:r w:rsidR="178E0CFF" w:rsidRPr="00BB79FA">
              <w:rPr>
                <w:rFonts w:ascii="Arial" w:eastAsia="Arial" w:hAnsi="Arial" w:cs="Arial"/>
                <w:i/>
                <w:color w:val="000000" w:themeColor="text1"/>
                <w:lang w:eastAsia="en-GB"/>
              </w:rPr>
              <w:t xml:space="preserve">nly exposures that are: </w:t>
            </w:r>
          </w:p>
          <w:p w14:paraId="1FAD15A3" w14:textId="77777777" w:rsidR="007658BA" w:rsidRPr="00BB79FA" w:rsidRDefault="007658BA" w:rsidP="00431269">
            <w:pPr>
              <w:spacing w:after="0" w:line="240" w:lineRule="auto"/>
              <w:rPr>
                <w:rFonts w:ascii="Arial" w:eastAsia="Arial" w:hAnsi="Arial" w:cs="Arial"/>
                <w:i/>
                <w:color w:val="000000" w:themeColor="text1"/>
                <w:lang w:eastAsia="en-GB"/>
              </w:rPr>
            </w:pPr>
          </w:p>
          <w:p w14:paraId="1170DAA7" w14:textId="4C0E343C" w:rsidR="00686F3A" w:rsidRPr="00BB79FA" w:rsidRDefault="178E0CFF" w:rsidP="00A23969">
            <w:pPr>
              <w:pStyle w:val="ListParagraph"/>
              <w:numPr>
                <w:ilvl w:val="0"/>
                <w:numId w:val="35"/>
              </w:num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classified as materially dependent on the cash</w:t>
            </w:r>
            <w:r w:rsidR="00256B22">
              <w:rPr>
                <w:rFonts w:ascii="Arial" w:eastAsia="Arial" w:hAnsi="Arial" w:cs="Arial"/>
                <w:i/>
                <w:color w:val="000000" w:themeColor="text1"/>
                <w:lang w:eastAsia="en-GB"/>
              </w:rPr>
              <w:t>-</w:t>
            </w:r>
            <w:r w:rsidRPr="00BB79FA">
              <w:rPr>
                <w:rFonts w:ascii="Arial" w:eastAsia="Arial" w:hAnsi="Arial" w:cs="Arial"/>
                <w:i/>
                <w:color w:val="000000" w:themeColor="text1"/>
                <w:lang w:eastAsia="en-GB"/>
              </w:rPr>
              <w:t>flows generated by the property under Article 124E of the Credit Risk: Standardised Approach (CRR) Part; and</w:t>
            </w:r>
          </w:p>
          <w:p w14:paraId="7B949D16" w14:textId="78C1E331" w:rsidR="00686F3A" w:rsidRPr="00BB79FA" w:rsidRDefault="00686F3A" w:rsidP="088FD2F0">
            <w:pPr>
              <w:pStyle w:val="ListParagraph"/>
              <w:spacing w:after="0" w:line="240" w:lineRule="auto"/>
              <w:rPr>
                <w:rFonts w:ascii="Arial" w:eastAsia="Arial" w:hAnsi="Arial" w:cs="Arial"/>
                <w:i/>
                <w:color w:val="000000" w:themeColor="text1"/>
                <w:lang w:eastAsia="en-GB"/>
              </w:rPr>
            </w:pPr>
          </w:p>
          <w:p w14:paraId="595E8400" w14:textId="6B4009C2" w:rsidR="00686F3A" w:rsidRPr="00BB79FA" w:rsidRDefault="178E0CFF" w:rsidP="00A23969">
            <w:pPr>
              <w:pStyle w:val="ListParagraph"/>
              <w:numPr>
                <w:ilvl w:val="0"/>
                <w:numId w:val="35"/>
              </w:num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assigned a risk weight of 110% under Article 124I(2) of the Credit Risk: Standardised Approach (CRR) Part, </w:t>
            </w:r>
          </w:p>
          <w:p w14:paraId="4F2AD0FD" w14:textId="3BC5978A" w:rsidR="00686F3A" w:rsidRPr="00BB79FA" w:rsidRDefault="00686F3A" w:rsidP="088FD2F0">
            <w:pPr>
              <w:spacing w:after="0" w:line="240" w:lineRule="auto"/>
              <w:rPr>
                <w:rFonts w:ascii="Arial" w:eastAsia="Arial" w:hAnsi="Arial" w:cs="Arial"/>
                <w:i/>
                <w:color w:val="000000" w:themeColor="text1"/>
                <w:lang w:eastAsia="en-GB"/>
              </w:rPr>
            </w:pPr>
          </w:p>
          <w:p w14:paraId="76C2311C" w14:textId="57EF6C0E" w:rsidR="00686F3A" w:rsidRPr="00BB79FA" w:rsidRDefault="178E0CFF"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shall be reported here.</w:t>
            </w:r>
          </w:p>
          <w:p w14:paraId="2AC3E183" w14:textId="415939E2" w:rsidR="00686F3A" w:rsidRPr="00BB79FA" w:rsidRDefault="00686F3A" w:rsidP="00686F3A">
            <w:pPr>
              <w:spacing w:after="0" w:line="240" w:lineRule="auto"/>
              <w:rPr>
                <w:rFonts w:ascii="Arial" w:eastAsia="Arial" w:hAnsi="Arial" w:cs="Arial"/>
                <w:i/>
                <w:color w:val="000000"/>
                <w:kern w:val="0"/>
                <w:lang w:eastAsia="en-GB"/>
                <w14:ligatures w14:val="none"/>
              </w:rPr>
            </w:pPr>
          </w:p>
        </w:tc>
      </w:tr>
      <w:tr w:rsidR="00686F3A" w:rsidRPr="00BB79FA" w14:paraId="68FB0D02" w14:textId="77777777" w:rsidTr="005E746E">
        <w:trPr>
          <w:trHeight w:val="276"/>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56B5F569" w14:textId="777777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150</w:t>
            </w:r>
          </w:p>
        </w:tc>
        <w:tc>
          <w:tcPr>
            <w:tcW w:w="7655" w:type="dxa"/>
            <w:tcBorders>
              <w:top w:val="nil"/>
              <w:left w:val="nil"/>
              <w:bottom w:val="single" w:sz="4" w:space="0" w:color="auto"/>
              <w:right w:val="single" w:sz="4" w:space="0" w:color="auto"/>
            </w:tcBorders>
            <w:shd w:val="clear" w:color="auto" w:fill="FFFFFF" w:themeFill="background1"/>
            <w:noWrap/>
            <w:hideMark/>
          </w:tcPr>
          <w:p w14:paraId="48245A20" w14:textId="46B9428C" w:rsidR="00686F3A" w:rsidRPr="00BB79FA" w:rsidRDefault="00686F3A" w:rsidP="088FD2F0">
            <w:pPr>
              <w:spacing w:after="0" w:line="240" w:lineRule="auto"/>
              <w:rPr>
                <w:rFonts w:ascii="Arial" w:eastAsia="Arial" w:hAnsi="Arial" w:cs="Arial"/>
                <w:b/>
                <w:i/>
                <w:color w:val="000000" w:themeColor="text1"/>
                <w:u w:val="single"/>
                <w:lang w:eastAsia="en-GB"/>
              </w:rPr>
            </w:pPr>
            <w:r w:rsidRPr="00BB79FA">
              <w:rPr>
                <w:rFonts w:ascii="Arial" w:eastAsia="Arial" w:hAnsi="Arial" w:cs="Arial"/>
                <w:b/>
                <w:i/>
                <w:color w:val="000000"/>
                <w:kern w:val="0"/>
                <w:u w:val="single"/>
                <w:lang w:eastAsia="en-GB"/>
                <w14:ligatures w14:val="none"/>
              </w:rPr>
              <w:t xml:space="preserve">   of which: regulatory CRE non-MDCFP exposures </w:t>
            </w:r>
            <w:r w:rsidR="072F9041" w:rsidRPr="00BB79FA">
              <w:rPr>
                <w:rFonts w:ascii="Arial" w:eastAsia="Arial" w:hAnsi="Arial" w:cs="Arial"/>
                <w:b/>
                <w:i/>
                <w:color w:val="000000"/>
                <w:kern w:val="0"/>
                <w:u w:val="single"/>
                <w:lang w:eastAsia="en-GB"/>
                <w14:ligatures w14:val="none"/>
              </w:rPr>
              <w:t>–</w:t>
            </w:r>
            <w:r w:rsidRPr="00BB79FA">
              <w:rPr>
                <w:rFonts w:ascii="Arial" w:eastAsia="Arial" w:hAnsi="Arial" w:cs="Arial"/>
                <w:b/>
                <w:i/>
                <w:color w:val="000000"/>
                <w:kern w:val="0"/>
                <w:u w:val="single"/>
                <w:lang w:eastAsia="en-GB"/>
                <w14:ligatures w14:val="none"/>
              </w:rPr>
              <w:t xml:space="preserve"> SMEs</w:t>
            </w:r>
          </w:p>
          <w:p w14:paraId="4A9C1C29" w14:textId="16AE8A5F" w:rsidR="00686F3A" w:rsidRPr="00BB79FA" w:rsidRDefault="00686F3A" w:rsidP="088FD2F0">
            <w:pPr>
              <w:spacing w:after="0" w:line="240" w:lineRule="auto"/>
              <w:rPr>
                <w:rFonts w:ascii="Arial" w:eastAsia="Arial" w:hAnsi="Arial" w:cs="Arial"/>
                <w:b/>
                <w:i/>
                <w:color w:val="000000" w:themeColor="text1"/>
                <w:lang w:eastAsia="en-GB"/>
              </w:rPr>
            </w:pPr>
          </w:p>
          <w:p w14:paraId="0488C959" w14:textId="45582CD2" w:rsidR="00686F3A" w:rsidRPr="00BB79FA" w:rsidRDefault="509E498D"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Sub-total row of rows 151, 152, and 153.</w:t>
            </w:r>
          </w:p>
          <w:p w14:paraId="25FB87AB" w14:textId="0EDF4EF8" w:rsidR="00686F3A" w:rsidRPr="00BB79FA" w:rsidRDefault="00686F3A" w:rsidP="088FD2F0">
            <w:pPr>
              <w:spacing w:after="0" w:line="240" w:lineRule="auto"/>
              <w:rPr>
                <w:rFonts w:ascii="Arial" w:eastAsia="Arial" w:hAnsi="Arial" w:cs="Arial"/>
                <w:b/>
                <w:i/>
                <w:color w:val="000000" w:themeColor="text1"/>
                <w:lang w:eastAsia="en-GB"/>
              </w:rPr>
            </w:pPr>
          </w:p>
          <w:p w14:paraId="56C1A1F0" w14:textId="77777777" w:rsidR="00DC3B3E" w:rsidRPr="00BB79FA" w:rsidRDefault="00DC3B3E" w:rsidP="00DC3B3E">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This row will be calculated by a formula, firms do not need to report here.</w:t>
            </w:r>
          </w:p>
          <w:p w14:paraId="1D949A95" w14:textId="3E2F290A" w:rsidR="00686F3A" w:rsidRPr="00BB79FA" w:rsidRDefault="00686F3A" w:rsidP="00686F3A">
            <w:pPr>
              <w:spacing w:after="0" w:line="240" w:lineRule="auto"/>
              <w:rPr>
                <w:rFonts w:ascii="Arial" w:eastAsia="Arial" w:hAnsi="Arial" w:cs="Arial"/>
                <w:i/>
                <w:color w:val="000000"/>
                <w:kern w:val="0"/>
                <w:lang w:eastAsia="en-GB"/>
                <w14:ligatures w14:val="none"/>
              </w:rPr>
            </w:pPr>
          </w:p>
        </w:tc>
      </w:tr>
      <w:tr w:rsidR="00686F3A" w:rsidRPr="00BB79FA" w14:paraId="4B0B5825" w14:textId="77777777" w:rsidTr="005E746E">
        <w:trPr>
          <w:trHeight w:val="276"/>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022EFF7D" w14:textId="777777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151</w:t>
            </w:r>
          </w:p>
        </w:tc>
        <w:tc>
          <w:tcPr>
            <w:tcW w:w="7655" w:type="dxa"/>
            <w:tcBorders>
              <w:top w:val="nil"/>
              <w:left w:val="nil"/>
              <w:bottom w:val="single" w:sz="4" w:space="0" w:color="auto"/>
              <w:right w:val="single" w:sz="4" w:space="0" w:color="auto"/>
            </w:tcBorders>
            <w:shd w:val="clear" w:color="auto" w:fill="FFFFFF" w:themeFill="background1"/>
            <w:noWrap/>
            <w:hideMark/>
          </w:tcPr>
          <w:p w14:paraId="176D1CBB" w14:textId="77777777" w:rsidR="00686F3A" w:rsidRPr="00BB79FA" w:rsidRDefault="00686F3A" w:rsidP="088FD2F0">
            <w:pPr>
              <w:spacing w:after="0" w:line="240" w:lineRule="auto"/>
              <w:rPr>
                <w:rFonts w:ascii="Arial" w:eastAsia="Arial" w:hAnsi="Arial" w:cs="Arial"/>
                <w:i/>
                <w:color w:val="000000" w:themeColor="text1"/>
                <w:u w:val="single"/>
                <w:lang w:eastAsia="en-GB"/>
              </w:rPr>
            </w:pPr>
            <w:r w:rsidRPr="00BB79FA">
              <w:rPr>
                <w:rFonts w:ascii="Arial" w:eastAsia="Arial" w:hAnsi="Arial" w:cs="Arial"/>
                <w:i/>
                <w:color w:val="000000"/>
                <w:kern w:val="0"/>
                <w:u w:val="single"/>
                <w:lang w:eastAsia="en-GB"/>
                <w14:ligatures w14:val="none"/>
              </w:rPr>
              <w:t xml:space="preserve">      of which: part of the exposure assigned a RW of 60% </w:t>
            </w:r>
          </w:p>
          <w:p w14:paraId="6AAB13A7" w14:textId="4BFF8058" w:rsidR="00686F3A" w:rsidRPr="00BB79FA" w:rsidRDefault="00686F3A" w:rsidP="088FD2F0">
            <w:pPr>
              <w:spacing w:after="0" w:line="240" w:lineRule="auto"/>
              <w:rPr>
                <w:rFonts w:ascii="Arial" w:eastAsia="Arial" w:hAnsi="Arial" w:cs="Arial"/>
                <w:i/>
                <w:color w:val="000000" w:themeColor="text1"/>
                <w:lang w:eastAsia="en-GB"/>
              </w:rPr>
            </w:pPr>
          </w:p>
          <w:p w14:paraId="02AF403B" w14:textId="2014380A" w:rsidR="00686F3A" w:rsidRPr="00BB79FA" w:rsidRDefault="701A7BCF"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O</w:t>
            </w:r>
            <w:r w:rsidR="38A6C455" w:rsidRPr="00BB79FA">
              <w:rPr>
                <w:rFonts w:ascii="Arial" w:eastAsia="Arial" w:hAnsi="Arial" w:cs="Arial"/>
                <w:i/>
                <w:color w:val="000000" w:themeColor="text1"/>
                <w:lang w:eastAsia="en-GB"/>
              </w:rPr>
              <w:t xml:space="preserve">nly </w:t>
            </w:r>
            <w:r w:rsidR="00324F00">
              <w:rPr>
                <w:rFonts w:ascii="Arial" w:eastAsia="Arial" w:hAnsi="Arial" w:cs="Arial"/>
                <w:i/>
                <w:color w:val="000000" w:themeColor="text1"/>
                <w:lang w:eastAsia="en-GB"/>
              </w:rPr>
              <w:t xml:space="preserve">the </w:t>
            </w:r>
            <w:r w:rsidR="7ABC83CB" w:rsidRPr="00BB79FA">
              <w:rPr>
                <w:rFonts w:ascii="Arial" w:eastAsia="Arial" w:hAnsi="Arial" w:cs="Arial"/>
                <w:i/>
                <w:color w:val="000000" w:themeColor="text1"/>
                <w:lang w:eastAsia="en-GB"/>
              </w:rPr>
              <w:t xml:space="preserve">part of the </w:t>
            </w:r>
            <w:r w:rsidR="300ED220" w:rsidRPr="00BB79FA">
              <w:rPr>
                <w:rFonts w:ascii="Arial" w:eastAsia="Arial" w:hAnsi="Arial" w:cs="Arial"/>
                <w:i/>
                <w:color w:val="000000" w:themeColor="text1"/>
                <w:lang w:eastAsia="en-GB"/>
              </w:rPr>
              <w:t>exposure</w:t>
            </w:r>
            <w:r w:rsidR="38A6C455" w:rsidRPr="00BB79FA">
              <w:rPr>
                <w:rFonts w:ascii="Arial" w:eastAsia="Arial" w:hAnsi="Arial" w:cs="Arial"/>
                <w:i/>
                <w:color w:val="000000" w:themeColor="text1"/>
                <w:lang w:eastAsia="en-GB"/>
              </w:rPr>
              <w:t xml:space="preserve"> </w:t>
            </w:r>
            <w:r w:rsidR="1B68269A" w:rsidRPr="00BB79FA">
              <w:rPr>
                <w:rFonts w:ascii="Arial" w:eastAsia="Arial" w:hAnsi="Arial" w:cs="Arial"/>
                <w:i/>
                <w:color w:val="000000" w:themeColor="text1"/>
                <w:lang w:eastAsia="en-GB"/>
              </w:rPr>
              <w:t>assigned a risk weight of 60% under Article 124H(1)(a) of the Credit Risk: Standardised Approach (CRR) Part, and where the exposures</w:t>
            </w:r>
            <w:r w:rsidR="38A6C455" w:rsidRPr="00BB79FA">
              <w:rPr>
                <w:rFonts w:ascii="Arial" w:eastAsia="Arial" w:hAnsi="Arial" w:cs="Arial"/>
                <w:i/>
                <w:color w:val="000000" w:themeColor="text1"/>
                <w:lang w:eastAsia="en-GB"/>
              </w:rPr>
              <w:t xml:space="preserve"> are</w:t>
            </w:r>
            <w:r w:rsidR="00D962DB" w:rsidRPr="00BB79FA">
              <w:rPr>
                <w:rFonts w:ascii="Arial" w:eastAsia="Arial" w:hAnsi="Arial" w:cs="Arial"/>
                <w:i/>
                <w:color w:val="000000" w:themeColor="text1"/>
                <w:lang w:eastAsia="en-GB"/>
              </w:rPr>
              <w:t xml:space="preserve"> no</w:t>
            </w:r>
            <w:r w:rsidR="38A6C455" w:rsidRPr="00BB79FA">
              <w:rPr>
                <w:rFonts w:ascii="Arial" w:eastAsia="Arial" w:hAnsi="Arial" w:cs="Arial"/>
                <w:i/>
                <w:color w:val="000000" w:themeColor="text1"/>
                <w:lang w:eastAsia="en-GB"/>
              </w:rPr>
              <w:t>t classified as materially dependent on the cash</w:t>
            </w:r>
            <w:r w:rsidR="00256B22">
              <w:rPr>
                <w:rFonts w:ascii="Arial" w:eastAsia="Arial" w:hAnsi="Arial" w:cs="Arial"/>
                <w:i/>
                <w:color w:val="000000" w:themeColor="text1"/>
                <w:lang w:eastAsia="en-GB"/>
              </w:rPr>
              <w:t>-</w:t>
            </w:r>
            <w:r w:rsidR="38A6C455" w:rsidRPr="00BB79FA">
              <w:rPr>
                <w:rFonts w:ascii="Arial" w:eastAsia="Arial" w:hAnsi="Arial" w:cs="Arial"/>
                <w:i/>
                <w:color w:val="000000" w:themeColor="text1"/>
                <w:lang w:eastAsia="en-GB"/>
              </w:rPr>
              <w:t>flows generated by the property under Article 124E of the Credit Risk: Standardised Approach (CRR) Part</w:t>
            </w:r>
            <w:r w:rsidR="19895C8D" w:rsidRPr="00BB79FA">
              <w:rPr>
                <w:rFonts w:ascii="Arial" w:eastAsia="Arial" w:hAnsi="Arial" w:cs="Arial"/>
                <w:i/>
                <w:color w:val="000000" w:themeColor="text1"/>
                <w:lang w:eastAsia="en-GB"/>
              </w:rPr>
              <w:t>,</w:t>
            </w:r>
            <w:r w:rsidR="005C1302" w:rsidRPr="00BB79FA">
              <w:rPr>
                <w:rFonts w:ascii="Arial" w:eastAsia="Arial" w:hAnsi="Arial" w:cs="Arial"/>
                <w:i/>
                <w:color w:val="000000" w:themeColor="text1"/>
                <w:lang w:eastAsia="en-GB"/>
              </w:rPr>
              <w:t xml:space="preserve"> </w:t>
            </w:r>
            <w:r w:rsidR="38A6C455" w:rsidRPr="00BB79FA">
              <w:rPr>
                <w:rFonts w:ascii="Arial" w:eastAsia="Arial" w:hAnsi="Arial" w:cs="Arial"/>
                <w:i/>
                <w:color w:val="000000" w:themeColor="text1"/>
                <w:lang w:eastAsia="en-GB"/>
              </w:rPr>
              <w:t>shall be reported here.</w:t>
            </w:r>
          </w:p>
          <w:p w14:paraId="600C1841" w14:textId="26C3D74C" w:rsidR="00686F3A" w:rsidRPr="00BB79FA" w:rsidRDefault="00686F3A" w:rsidP="00686F3A">
            <w:pPr>
              <w:spacing w:after="0" w:line="240" w:lineRule="auto"/>
              <w:rPr>
                <w:rFonts w:ascii="Arial" w:eastAsia="Arial" w:hAnsi="Arial" w:cs="Arial"/>
                <w:b/>
                <w:i/>
                <w:color w:val="000000"/>
                <w:kern w:val="0"/>
                <w:lang w:eastAsia="en-GB"/>
                <w14:ligatures w14:val="none"/>
              </w:rPr>
            </w:pPr>
          </w:p>
        </w:tc>
      </w:tr>
      <w:tr w:rsidR="00686F3A" w:rsidRPr="00BB79FA" w14:paraId="4D19BCD2" w14:textId="77777777" w:rsidTr="005E746E">
        <w:trPr>
          <w:trHeight w:val="276"/>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0D416ED1" w14:textId="777777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152</w:t>
            </w:r>
          </w:p>
        </w:tc>
        <w:tc>
          <w:tcPr>
            <w:tcW w:w="7655" w:type="dxa"/>
            <w:tcBorders>
              <w:top w:val="nil"/>
              <w:left w:val="nil"/>
              <w:bottom w:val="single" w:sz="4" w:space="0" w:color="auto"/>
              <w:right w:val="single" w:sz="4" w:space="0" w:color="auto"/>
            </w:tcBorders>
            <w:shd w:val="clear" w:color="auto" w:fill="FFFFFF" w:themeFill="background1"/>
            <w:noWrap/>
            <w:hideMark/>
          </w:tcPr>
          <w:p w14:paraId="2FC68F5C" w14:textId="77777777" w:rsidR="00686F3A" w:rsidRPr="00BB79FA" w:rsidRDefault="00686F3A" w:rsidP="088FD2F0">
            <w:pPr>
              <w:spacing w:after="0" w:line="240" w:lineRule="auto"/>
              <w:rPr>
                <w:rFonts w:ascii="Arial" w:eastAsia="Arial" w:hAnsi="Arial" w:cs="Arial"/>
                <w:i/>
                <w:color w:val="000000" w:themeColor="text1"/>
                <w:u w:val="single"/>
                <w:lang w:eastAsia="en-GB"/>
              </w:rPr>
            </w:pPr>
            <w:r w:rsidRPr="00BB79FA">
              <w:rPr>
                <w:rFonts w:ascii="Arial" w:eastAsia="Arial" w:hAnsi="Arial" w:cs="Arial"/>
                <w:i/>
                <w:color w:val="000000"/>
                <w:kern w:val="0"/>
                <w:u w:val="single"/>
                <w:lang w:eastAsia="en-GB"/>
                <w14:ligatures w14:val="none"/>
              </w:rPr>
              <w:t xml:space="preserve">      of which: part of the exposure assigned a RW of 75% </w:t>
            </w:r>
          </w:p>
          <w:p w14:paraId="29B601DD" w14:textId="21C1D770" w:rsidR="00686F3A" w:rsidRPr="00BB79FA" w:rsidRDefault="00686F3A" w:rsidP="088FD2F0">
            <w:pPr>
              <w:spacing w:after="0" w:line="240" w:lineRule="auto"/>
              <w:rPr>
                <w:rFonts w:ascii="Arial" w:eastAsia="Arial" w:hAnsi="Arial" w:cs="Arial"/>
                <w:i/>
                <w:color w:val="000000" w:themeColor="text1"/>
                <w:lang w:eastAsia="en-GB"/>
              </w:rPr>
            </w:pPr>
          </w:p>
          <w:p w14:paraId="398E2520" w14:textId="58DABD44" w:rsidR="00686F3A" w:rsidRPr="00BB79FA" w:rsidRDefault="7900969B"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O</w:t>
            </w:r>
            <w:r w:rsidR="5D140E26" w:rsidRPr="00BB79FA">
              <w:rPr>
                <w:rFonts w:ascii="Arial" w:eastAsia="Arial" w:hAnsi="Arial" w:cs="Arial"/>
                <w:i/>
                <w:color w:val="000000" w:themeColor="text1"/>
                <w:lang w:eastAsia="en-GB"/>
              </w:rPr>
              <w:t xml:space="preserve">nly </w:t>
            </w:r>
            <w:r w:rsidR="00324F00">
              <w:rPr>
                <w:rFonts w:ascii="Arial" w:eastAsia="Arial" w:hAnsi="Arial" w:cs="Arial"/>
                <w:i/>
                <w:color w:val="000000" w:themeColor="text1"/>
                <w:lang w:eastAsia="en-GB"/>
              </w:rPr>
              <w:t xml:space="preserve">the </w:t>
            </w:r>
            <w:r w:rsidR="5D140E26" w:rsidRPr="00BB79FA">
              <w:rPr>
                <w:rFonts w:ascii="Arial" w:eastAsia="Arial" w:hAnsi="Arial" w:cs="Arial"/>
                <w:i/>
                <w:color w:val="000000" w:themeColor="text1"/>
                <w:lang w:eastAsia="en-GB"/>
              </w:rPr>
              <w:t>part of the exposure assigned a risk weight of 75% under Article 124H(1)(b) of the Credit Risk: Standardised Approach (CRR) Part (</w:t>
            </w:r>
            <w:r w:rsidR="250D9D2D" w:rsidRPr="00BB79FA">
              <w:rPr>
                <w:rFonts w:ascii="Arial" w:eastAsia="Arial" w:hAnsi="Arial" w:cs="Arial"/>
                <w:i/>
                <w:color w:val="000000" w:themeColor="text1"/>
                <w:lang w:eastAsia="en-GB"/>
              </w:rPr>
              <w:t>due to Article 124L(1)(b) of the Credit Risk: Standardised Approach (CRR) Part)</w:t>
            </w:r>
            <w:r w:rsidR="5D140E26" w:rsidRPr="00BB79FA">
              <w:rPr>
                <w:rFonts w:ascii="Arial" w:eastAsia="Arial" w:hAnsi="Arial" w:cs="Arial"/>
                <w:i/>
                <w:color w:val="000000" w:themeColor="text1"/>
                <w:lang w:eastAsia="en-GB"/>
              </w:rPr>
              <w:t>, and where the exposures are</w:t>
            </w:r>
            <w:r w:rsidR="00963992" w:rsidRPr="00BB79FA">
              <w:rPr>
                <w:rFonts w:ascii="Arial" w:eastAsia="Arial" w:hAnsi="Arial" w:cs="Arial"/>
                <w:i/>
                <w:color w:val="000000" w:themeColor="text1"/>
                <w:lang w:eastAsia="en-GB"/>
              </w:rPr>
              <w:t xml:space="preserve"> </w:t>
            </w:r>
            <w:r w:rsidR="5D140E26" w:rsidRPr="00BB79FA">
              <w:rPr>
                <w:rFonts w:ascii="Arial" w:eastAsia="Arial" w:hAnsi="Arial" w:cs="Arial"/>
                <w:i/>
                <w:color w:val="000000" w:themeColor="text1"/>
                <w:lang w:eastAsia="en-GB"/>
              </w:rPr>
              <w:t xml:space="preserve">not classified as materially dependent on the </w:t>
            </w:r>
            <w:r w:rsidR="5D140E26" w:rsidRPr="00BB79FA">
              <w:rPr>
                <w:rFonts w:ascii="Arial" w:eastAsia="Arial" w:hAnsi="Arial" w:cs="Arial"/>
                <w:i/>
                <w:color w:val="000000" w:themeColor="text1"/>
                <w:lang w:eastAsia="en-GB"/>
              </w:rPr>
              <w:lastRenderedPageBreak/>
              <w:t>cash</w:t>
            </w:r>
            <w:r w:rsidR="00256B22">
              <w:rPr>
                <w:rFonts w:ascii="Arial" w:eastAsia="Arial" w:hAnsi="Arial" w:cs="Arial"/>
                <w:i/>
                <w:color w:val="000000" w:themeColor="text1"/>
                <w:lang w:eastAsia="en-GB"/>
              </w:rPr>
              <w:t>-</w:t>
            </w:r>
            <w:r w:rsidR="5D140E26" w:rsidRPr="00BB79FA">
              <w:rPr>
                <w:rFonts w:ascii="Arial" w:eastAsia="Arial" w:hAnsi="Arial" w:cs="Arial"/>
                <w:i/>
                <w:color w:val="000000" w:themeColor="text1"/>
                <w:lang w:eastAsia="en-GB"/>
              </w:rPr>
              <w:t>flows generated by the property under Article 124E of the Credit Risk: Standardised Approach (CRR) Part,</w:t>
            </w:r>
            <w:r w:rsidR="00963992" w:rsidRPr="00BB79FA">
              <w:rPr>
                <w:rFonts w:ascii="Arial" w:eastAsia="Arial" w:hAnsi="Arial" w:cs="Arial"/>
                <w:i/>
                <w:color w:val="000000" w:themeColor="text1"/>
                <w:lang w:eastAsia="en-GB"/>
              </w:rPr>
              <w:t xml:space="preserve"> </w:t>
            </w:r>
            <w:r w:rsidR="5D140E26" w:rsidRPr="00BB79FA">
              <w:rPr>
                <w:rFonts w:ascii="Arial" w:eastAsia="Arial" w:hAnsi="Arial" w:cs="Arial"/>
                <w:i/>
                <w:color w:val="000000" w:themeColor="text1"/>
                <w:lang w:eastAsia="en-GB"/>
              </w:rPr>
              <w:t>shall be reported here.</w:t>
            </w:r>
          </w:p>
          <w:p w14:paraId="22450691" w14:textId="057306BB" w:rsidR="00686F3A" w:rsidRPr="00BB79FA" w:rsidRDefault="00686F3A" w:rsidP="00686F3A">
            <w:pPr>
              <w:spacing w:after="0" w:line="240" w:lineRule="auto"/>
              <w:rPr>
                <w:rFonts w:ascii="Arial" w:eastAsia="Arial" w:hAnsi="Arial" w:cs="Arial"/>
                <w:i/>
                <w:color w:val="000000"/>
                <w:kern w:val="0"/>
                <w:lang w:eastAsia="en-GB"/>
                <w14:ligatures w14:val="none"/>
              </w:rPr>
            </w:pPr>
          </w:p>
        </w:tc>
      </w:tr>
      <w:tr w:rsidR="00686F3A" w:rsidRPr="00BB79FA" w14:paraId="7FC958D7" w14:textId="77777777" w:rsidTr="005E746E">
        <w:trPr>
          <w:trHeight w:val="276"/>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6F6D9D73" w14:textId="777777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lastRenderedPageBreak/>
              <w:t>153</w:t>
            </w:r>
          </w:p>
        </w:tc>
        <w:tc>
          <w:tcPr>
            <w:tcW w:w="7655" w:type="dxa"/>
            <w:tcBorders>
              <w:top w:val="nil"/>
              <w:left w:val="nil"/>
              <w:bottom w:val="single" w:sz="4" w:space="0" w:color="auto"/>
              <w:right w:val="single" w:sz="4" w:space="0" w:color="auto"/>
            </w:tcBorders>
            <w:shd w:val="clear" w:color="auto" w:fill="FFFFFF" w:themeFill="background1"/>
            <w:noWrap/>
            <w:hideMark/>
          </w:tcPr>
          <w:p w14:paraId="18BAA93E" w14:textId="12ED9B34" w:rsidR="00686F3A" w:rsidRPr="00BB79FA" w:rsidRDefault="00686F3A"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kern w:val="0"/>
                <w:u w:val="single"/>
                <w:lang w:eastAsia="en-GB"/>
                <w14:ligatures w14:val="none"/>
              </w:rPr>
              <w:t xml:space="preserve">      of which: part of the exposure assigned a RW of 85%</w:t>
            </w:r>
            <w:r w:rsidRPr="00BB79FA">
              <w:rPr>
                <w:rFonts w:ascii="Arial" w:eastAsia="Arial" w:hAnsi="Arial" w:cs="Arial"/>
                <w:i/>
                <w:color w:val="000000"/>
                <w:kern w:val="0"/>
                <w:lang w:eastAsia="en-GB"/>
                <w14:ligatures w14:val="none"/>
              </w:rPr>
              <w:t xml:space="preserve"> </w:t>
            </w:r>
          </w:p>
          <w:p w14:paraId="3EB51C6C" w14:textId="1BD23482" w:rsidR="00686F3A" w:rsidRPr="00BB79FA" w:rsidRDefault="00686F3A" w:rsidP="088FD2F0">
            <w:pPr>
              <w:spacing w:after="0" w:line="240" w:lineRule="auto"/>
              <w:rPr>
                <w:rFonts w:ascii="Arial" w:eastAsia="Arial" w:hAnsi="Arial" w:cs="Arial"/>
                <w:i/>
                <w:color w:val="000000" w:themeColor="text1"/>
                <w:lang w:eastAsia="en-GB"/>
              </w:rPr>
            </w:pPr>
          </w:p>
          <w:p w14:paraId="4EC76968" w14:textId="3110A3EF" w:rsidR="00686F3A" w:rsidRPr="00BB79FA" w:rsidRDefault="4AED0B79"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O</w:t>
            </w:r>
            <w:r w:rsidR="1BF992DA" w:rsidRPr="00BB79FA">
              <w:rPr>
                <w:rFonts w:ascii="Arial" w:eastAsia="Arial" w:hAnsi="Arial" w:cs="Arial"/>
                <w:i/>
                <w:color w:val="000000" w:themeColor="text1"/>
                <w:lang w:eastAsia="en-GB"/>
              </w:rPr>
              <w:t xml:space="preserve">nly </w:t>
            </w:r>
            <w:r w:rsidR="00324F00">
              <w:rPr>
                <w:rFonts w:ascii="Arial" w:eastAsia="Arial" w:hAnsi="Arial" w:cs="Arial"/>
                <w:i/>
                <w:color w:val="000000" w:themeColor="text1"/>
                <w:lang w:eastAsia="en-GB"/>
              </w:rPr>
              <w:t xml:space="preserve">the </w:t>
            </w:r>
            <w:r w:rsidR="1BF992DA" w:rsidRPr="00BB79FA">
              <w:rPr>
                <w:rFonts w:ascii="Arial" w:eastAsia="Arial" w:hAnsi="Arial" w:cs="Arial"/>
                <w:i/>
                <w:color w:val="000000" w:themeColor="text1"/>
                <w:lang w:eastAsia="en-GB"/>
              </w:rPr>
              <w:t>part of the exposure assigned a risk weight of 85% under Article 124H(1)(b) of the Credit Risk: Standardised Approach (CRR) Part (due to Article 124L(1)(c) of the Credit Risk: Standardised Approach (CRR) Part), and where the exposures are</w:t>
            </w:r>
            <w:r w:rsidR="00963992" w:rsidRPr="00BB79FA">
              <w:rPr>
                <w:rFonts w:ascii="Arial" w:eastAsia="Arial" w:hAnsi="Arial" w:cs="Arial"/>
                <w:i/>
                <w:color w:val="000000" w:themeColor="text1"/>
                <w:lang w:eastAsia="en-GB"/>
              </w:rPr>
              <w:t xml:space="preserve"> </w:t>
            </w:r>
            <w:r w:rsidR="1BF992DA" w:rsidRPr="00BB79FA">
              <w:rPr>
                <w:rFonts w:ascii="Arial" w:eastAsia="Arial" w:hAnsi="Arial" w:cs="Arial"/>
                <w:i/>
                <w:color w:val="000000" w:themeColor="text1"/>
                <w:lang w:eastAsia="en-GB"/>
              </w:rPr>
              <w:t>not classified as materially dependent on the cash</w:t>
            </w:r>
            <w:r w:rsidR="00256B22">
              <w:rPr>
                <w:rFonts w:ascii="Arial" w:eastAsia="Arial" w:hAnsi="Arial" w:cs="Arial"/>
                <w:i/>
                <w:color w:val="000000" w:themeColor="text1"/>
                <w:lang w:eastAsia="en-GB"/>
              </w:rPr>
              <w:t>-</w:t>
            </w:r>
            <w:r w:rsidR="1BF992DA" w:rsidRPr="00BB79FA">
              <w:rPr>
                <w:rFonts w:ascii="Arial" w:eastAsia="Arial" w:hAnsi="Arial" w:cs="Arial"/>
                <w:i/>
                <w:color w:val="000000" w:themeColor="text1"/>
                <w:lang w:eastAsia="en-GB"/>
              </w:rPr>
              <w:t>flows generated by the property under Article 124E of the Credit Risk: Standardised Approach (CRR) Part,</w:t>
            </w:r>
            <w:r w:rsidR="00963992" w:rsidRPr="00BB79FA">
              <w:rPr>
                <w:rFonts w:ascii="Arial" w:eastAsia="Arial" w:hAnsi="Arial" w:cs="Arial"/>
                <w:i/>
                <w:color w:val="000000" w:themeColor="text1"/>
                <w:lang w:eastAsia="en-GB"/>
              </w:rPr>
              <w:t xml:space="preserve"> </w:t>
            </w:r>
            <w:r w:rsidR="1BF992DA" w:rsidRPr="00BB79FA">
              <w:rPr>
                <w:rFonts w:ascii="Arial" w:eastAsia="Arial" w:hAnsi="Arial" w:cs="Arial"/>
                <w:i/>
                <w:color w:val="000000" w:themeColor="text1"/>
                <w:lang w:eastAsia="en-GB"/>
              </w:rPr>
              <w:t>shall be reported here.</w:t>
            </w:r>
          </w:p>
          <w:p w14:paraId="5B3E4AD3" w14:textId="658DEE2C" w:rsidR="00686F3A" w:rsidRPr="00BB79FA" w:rsidRDefault="00686F3A" w:rsidP="00686F3A">
            <w:pPr>
              <w:spacing w:after="0" w:line="240" w:lineRule="auto"/>
              <w:rPr>
                <w:rFonts w:ascii="Arial" w:eastAsia="Arial" w:hAnsi="Arial" w:cs="Arial"/>
                <w:i/>
                <w:color w:val="000000"/>
                <w:kern w:val="0"/>
                <w:lang w:eastAsia="en-GB"/>
                <w14:ligatures w14:val="none"/>
              </w:rPr>
            </w:pPr>
          </w:p>
        </w:tc>
      </w:tr>
      <w:tr w:rsidR="00686F3A" w:rsidRPr="00BB79FA" w14:paraId="59198B99" w14:textId="77777777" w:rsidTr="005E746E">
        <w:trPr>
          <w:trHeight w:val="276"/>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6A62284A" w14:textId="777777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160</w:t>
            </w:r>
          </w:p>
        </w:tc>
        <w:tc>
          <w:tcPr>
            <w:tcW w:w="7655" w:type="dxa"/>
            <w:tcBorders>
              <w:top w:val="nil"/>
              <w:left w:val="nil"/>
              <w:bottom w:val="single" w:sz="4" w:space="0" w:color="auto"/>
              <w:right w:val="single" w:sz="4" w:space="0" w:color="auto"/>
            </w:tcBorders>
            <w:shd w:val="clear" w:color="auto" w:fill="FFFFFF" w:themeFill="background1"/>
            <w:noWrap/>
            <w:hideMark/>
          </w:tcPr>
          <w:p w14:paraId="3E766537" w14:textId="5A655CD7" w:rsidR="00686F3A" w:rsidRPr="00BB79FA" w:rsidRDefault="00686F3A" w:rsidP="088FD2F0">
            <w:pPr>
              <w:spacing w:after="0" w:line="240" w:lineRule="auto"/>
              <w:rPr>
                <w:rFonts w:ascii="Arial" w:eastAsia="Arial" w:hAnsi="Arial" w:cs="Arial"/>
                <w:b/>
                <w:i/>
                <w:color w:val="000000" w:themeColor="text1"/>
                <w:u w:val="single"/>
                <w:lang w:eastAsia="en-GB"/>
              </w:rPr>
            </w:pPr>
            <w:r w:rsidRPr="00BB79FA">
              <w:rPr>
                <w:rFonts w:ascii="Arial" w:eastAsia="Arial" w:hAnsi="Arial" w:cs="Arial"/>
                <w:b/>
                <w:i/>
                <w:color w:val="000000"/>
                <w:kern w:val="0"/>
                <w:u w:val="single"/>
                <w:lang w:eastAsia="en-GB"/>
                <w14:ligatures w14:val="none"/>
              </w:rPr>
              <w:t xml:space="preserve">   of which: regulatory RRE MDCFP exposures - SMEs </w:t>
            </w:r>
          </w:p>
          <w:p w14:paraId="4046C7C6" w14:textId="5193D5C8" w:rsidR="00686F3A" w:rsidRPr="00BB79FA" w:rsidRDefault="00686F3A" w:rsidP="088FD2F0">
            <w:pPr>
              <w:spacing w:after="0" w:line="240" w:lineRule="auto"/>
              <w:rPr>
                <w:rFonts w:ascii="Arial" w:eastAsia="Arial" w:hAnsi="Arial" w:cs="Arial"/>
                <w:b/>
                <w:i/>
                <w:color w:val="000000" w:themeColor="text1"/>
                <w:lang w:eastAsia="en-GB"/>
              </w:rPr>
            </w:pPr>
          </w:p>
          <w:p w14:paraId="76345F3E" w14:textId="27E33F3A" w:rsidR="00686F3A" w:rsidRPr="00BB79FA" w:rsidRDefault="3BC43DCF"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Sub-total row of following rows: 1</w:t>
            </w:r>
            <w:r w:rsidR="71786A7C" w:rsidRPr="00BB79FA">
              <w:rPr>
                <w:rFonts w:ascii="Arial" w:eastAsia="Arial" w:hAnsi="Arial" w:cs="Arial"/>
                <w:i/>
                <w:color w:val="000000" w:themeColor="text1"/>
                <w:lang w:eastAsia="en-GB"/>
              </w:rPr>
              <w:t>6</w:t>
            </w:r>
            <w:r w:rsidRPr="00BB79FA">
              <w:rPr>
                <w:rFonts w:ascii="Arial" w:eastAsia="Arial" w:hAnsi="Arial" w:cs="Arial"/>
                <w:i/>
                <w:color w:val="000000" w:themeColor="text1"/>
                <w:lang w:eastAsia="en-GB"/>
              </w:rPr>
              <w:t>1; 1</w:t>
            </w:r>
            <w:r w:rsidR="1EE47DFE" w:rsidRPr="00BB79FA">
              <w:rPr>
                <w:rFonts w:ascii="Arial" w:eastAsia="Arial" w:hAnsi="Arial" w:cs="Arial"/>
                <w:i/>
                <w:color w:val="000000" w:themeColor="text1"/>
                <w:lang w:eastAsia="en-GB"/>
              </w:rPr>
              <w:t>6</w:t>
            </w:r>
            <w:r w:rsidRPr="00BB79FA">
              <w:rPr>
                <w:rFonts w:ascii="Arial" w:eastAsia="Arial" w:hAnsi="Arial" w:cs="Arial"/>
                <w:i/>
                <w:color w:val="000000" w:themeColor="text1"/>
                <w:lang w:eastAsia="en-GB"/>
              </w:rPr>
              <w:t>2; 1</w:t>
            </w:r>
            <w:r w:rsidR="30AC29AF" w:rsidRPr="00BB79FA">
              <w:rPr>
                <w:rFonts w:ascii="Arial" w:eastAsia="Arial" w:hAnsi="Arial" w:cs="Arial"/>
                <w:i/>
                <w:color w:val="000000" w:themeColor="text1"/>
                <w:lang w:eastAsia="en-GB"/>
              </w:rPr>
              <w:t>6</w:t>
            </w:r>
            <w:r w:rsidRPr="00BB79FA">
              <w:rPr>
                <w:rFonts w:ascii="Arial" w:eastAsia="Arial" w:hAnsi="Arial" w:cs="Arial"/>
                <w:i/>
                <w:color w:val="000000" w:themeColor="text1"/>
                <w:lang w:eastAsia="en-GB"/>
              </w:rPr>
              <w:t>3; 1</w:t>
            </w:r>
            <w:r w:rsidR="262354DD" w:rsidRPr="00BB79FA">
              <w:rPr>
                <w:rFonts w:ascii="Arial" w:eastAsia="Arial" w:hAnsi="Arial" w:cs="Arial"/>
                <w:i/>
                <w:color w:val="000000" w:themeColor="text1"/>
                <w:lang w:eastAsia="en-GB"/>
              </w:rPr>
              <w:t>6</w:t>
            </w:r>
            <w:r w:rsidRPr="00BB79FA">
              <w:rPr>
                <w:rFonts w:ascii="Arial" w:eastAsia="Arial" w:hAnsi="Arial" w:cs="Arial"/>
                <w:i/>
                <w:color w:val="000000" w:themeColor="text1"/>
                <w:lang w:eastAsia="en-GB"/>
              </w:rPr>
              <w:t>4; 1</w:t>
            </w:r>
            <w:r w:rsidR="2F34E1C9" w:rsidRPr="00BB79FA">
              <w:rPr>
                <w:rFonts w:ascii="Arial" w:eastAsia="Arial" w:hAnsi="Arial" w:cs="Arial"/>
                <w:i/>
                <w:color w:val="000000" w:themeColor="text1"/>
                <w:lang w:eastAsia="en-GB"/>
              </w:rPr>
              <w:t>6</w:t>
            </w:r>
            <w:r w:rsidRPr="00BB79FA">
              <w:rPr>
                <w:rFonts w:ascii="Arial" w:eastAsia="Arial" w:hAnsi="Arial" w:cs="Arial"/>
                <w:i/>
                <w:color w:val="000000" w:themeColor="text1"/>
                <w:lang w:eastAsia="en-GB"/>
              </w:rPr>
              <w:t xml:space="preserve">5; </w:t>
            </w:r>
            <w:r w:rsidR="1F41D6A1" w:rsidRPr="00BB79FA">
              <w:rPr>
                <w:rFonts w:ascii="Arial" w:eastAsia="Arial" w:hAnsi="Arial" w:cs="Arial"/>
                <w:i/>
                <w:color w:val="000000" w:themeColor="text1"/>
                <w:lang w:eastAsia="en-GB"/>
              </w:rPr>
              <w:t xml:space="preserve">166 </w:t>
            </w:r>
            <w:r w:rsidRPr="00BB79FA">
              <w:rPr>
                <w:rFonts w:ascii="Arial" w:eastAsia="Arial" w:hAnsi="Arial" w:cs="Arial"/>
                <w:i/>
                <w:color w:val="000000" w:themeColor="text1"/>
                <w:lang w:eastAsia="en-GB"/>
              </w:rPr>
              <w:t>and 1</w:t>
            </w:r>
            <w:r w:rsidR="758D0949" w:rsidRPr="00BB79FA">
              <w:rPr>
                <w:rFonts w:ascii="Arial" w:eastAsia="Arial" w:hAnsi="Arial" w:cs="Arial"/>
                <w:i/>
                <w:color w:val="000000" w:themeColor="text1"/>
                <w:lang w:eastAsia="en-GB"/>
              </w:rPr>
              <w:t>67</w:t>
            </w:r>
            <w:r w:rsidRPr="00BB79FA">
              <w:rPr>
                <w:rFonts w:ascii="Arial" w:eastAsia="Arial" w:hAnsi="Arial" w:cs="Arial"/>
                <w:i/>
                <w:color w:val="000000" w:themeColor="text1"/>
                <w:lang w:eastAsia="en-GB"/>
              </w:rPr>
              <w:t>.</w:t>
            </w:r>
          </w:p>
          <w:p w14:paraId="6EABD0BE" w14:textId="1D362575" w:rsidR="00686F3A" w:rsidRPr="00BB79FA" w:rsidRDefault="00686F3A" w:rsidP="088FD2F0">
            <w:pPr>
              <w:spacing w:after="0" w:line="240" w:lineRule="auto"/>
              <w:rPr>
                <w:rFonts w:ascii="Arial" w:eastAsia="Arial" w:hAnsi="Arial" w:cs="Arial"/>
                <w:i/>
                <w:color w:val="000000" w:themeColor="text1"/>
                <w:lang w:eastAsia="en-GB"/>
              </w:rPr>
            </w:pPr>
          </w:p>
          <w:p w14:paraId="1F621D5A" w14:textId="77777777" w:rsidR="00C52197" w:rsidRPr="00BB79FA" w:rsidRDefault="00C52197" w:rsidP="00C52197">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This row will be calculated by a formula, firms do not need to report here.</w:t>
            </w:r>
          </w:p>
          <w:p w14:paraId="52B08635" w14:textId="122C6C2E" w:rsidR="00686F3A" w:rsidRPr="00BB79FA" w:rsidRDefault="00686F3A" w:rsidP="00686F3A">
            <w:pPr>
              <w:spacing w:after="0" w:line="240" w:lineRule="auto"/>
              <w:rPr>
                <w:rFonts w:ascii="Arial" w:eastAsia="Arial" w:hAnsi="Arial" w:cs="Arial"/>
                <w:b/>
                <w:i/>
                <w:color w:val="000000"/>
                <w:kern w:val="0"/>
                <w:lang w:eastAsia="en-GB"/>
                <w14:ligatures w14:val="none"/>
              </w:rPr>
            </w:pPr>
          </w:p>
        </w:tc>
      </w:tr>
      <w:tr w:rsidR="00686F3A" w:rsidRPr="00BB79FA" w14:paraId="17B0BB28" w14:textId="77777777" w:rsidTr="005E746E">
        <w:trPr>
          <w:trHeight w:val="276"/>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440D5F72" w14:textId="777777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161</w:t>
            </w:r>
          </w:p>
        </w:tc>
        <w:tc>
          <w:tcPr>
            <w:tcW w:w="7655" w:type="dxa"/>
            <w:tcBorders>
              <w:top w:val="nil"/>
              <w:left w:val="nil"/>
              <w:bottom w:val="single" w:sz="4" w:space="0" w:color="auto"/>
              <w:right w:val="single" w:sz="4" w:space="0" w:color="auto"/>
            </w:tcBorders>
            <w:shd w:val="clear" w:color="auto" w:fill="FFFFFF" w:themeFill="background1"/>
            <w:noWrap/>
            <w:hideMark/>
          </w:tcPr>
          <w:p w14:paraId="59A532F7" w14:textId="77777777" w:rsidR="00686F3A" w:rsidRPr="00BB79FA" w:rsidRDefault="00686F3A" w:rsidP="088FD2F0">
            <w:pPr>
              <w:spacing w:after="0" w:line="240" w:lineRule="auto"/>
              <w:rPr>
                <w:rFonts w:ascii="Arial" w:eastAsia="Arial" w:hAnsi="Arial" w:cs="Arial"/>
                <w:i/>
                <w:color w:val="000000" w:themeColor="text1"/>
                <w:u w:val="single"/>
                <w:lang w:eastAsia="en-GB"/>
              </w:rPr>
            </w:pPr>
            <w:r w:rsidRPr="00BB79FA">
              <w:rPr>
                <w:rFonts w:ascii="Arial" w:eastAsia="Arial" w:hAnsi="Arial" w:cs="Arial"/>
                <w:i/>
                <w:color w:val="000000"/>
                <w:kern w:val="0"/>
                <w:u w:val="single"/>
                <w:lang w:eastAsia="en-GB"/>
                <w14:ligatures w14:val="none"/>
              </w:rPr>
              <w:t xml:space="preserve">      of which: assigned a RW of 30%</w:t>
            </w:r>
          </w:p>
          <w:p w14:paraId="4A1011D7" w14:textId="3AEB4EE4" w:rsidR="00686F3A" w:rsidRPr="00BB79FA" w:rsidRDefault="00686F3A" w:rsidP="088FD2F0">
            <w:pPr>
              <w:spacing w:after="0" w:line="240" w:lineRule="auto"/>
              <w:rPr>
                <w:rFonts w:ascii="Arial" w:eastAsia="Arial" w:hAnsi="Arial" w:cs="Arial"/>
                <w:i/>
                <w:color w:val="000000" w:themeColor="text1"/>
                <w:lang w:eastAsia="en-GB"/>
              </w:rPr>
            </w:pPr>
          </w:p>
          <w:p w14:paraId="06487B4F" w14:textId="6D9FCC7B" w:rsidR="00686F3A" w:rsidRPr="00BB79FA" w:rsidRDefault="5093CFDA"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Only exposures that are: </w:t>
            </w:r>
          </w:p>
          <w:p w14:paraId="0333A8D3" w14:textId="1B6334FE" w:rsidR="00686F3A" w:rsidRPr="00BB79FA" w:rsidRDefault="00686F3A" w:rsidP="088FD2F0">
            <w:pPr>
              <w:spacing w:after="0" w:line="240" w:lineRule="auto"/>
              <w:rPr>
                <w:rFonts w:ascii="Arial" w:eastAsia="Arial" w:hAnsi="Arial" w:cs="Arial"/>
                <w:i/>
                <w:color w:val="000000" w:themeColor="text1"/>
                <w:lang w:eastAsia="en-GB"/>
              </w:rPr>
            </w:pPr>
          </w:p>
          <w:p w14:paraId="1668110B" w14:textId="1E65F151" w:rsidR="00686F3A" w:rsidRPr="00BB79FA" w:rsidRDefault="5093CFDA" w:rsidP="00A23969">
            <w:pPr>
              <w:pStyle w:val="ListParagraph"/>
              <w:numPr>
                <w:ilvl w:val="0"/>
                <w:numId w:val="34"/>
              </w:num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classified as materially dependent on the cash</w:t>
            </w:r>
            <w:r w:rsidR="00256B22">
              <w:rPr>
                <w:rFonts w:ascii="Arial" w:eastAsia="Arial" w:hAnsi="Arial" w:cs="Arial"/>
                <w:i/>
                <w:color w:val="000000" w:themeColor="text1"/>
                <w:lang w:eastAsia="en-GB"/>
              </w:rPr>
              <w:t>-</w:t>
            </w:r>
            <w:r w:rsidRPr="00BB79FA">
              <w:rPr>
                <w:rFonts w:ascii="Arial" w:eastAsia="Arial" w:hAnsi="Arial" w:cs="Arial"/>
                <w:i/>
                <w:color w:val="000000" w:themeColor="text1"/>
                <w:lang w:eastAsia="en-GB"/>
              </w:rPr>
              <w:t>flows generated by the property under Article 124E of the Credit Risk: Standardised Approach (CRR) Part; and</w:t>
            </w:r>
          </w:p>
          <w:p w14:paraId="58AA2876" w14:textId="78C1E331" w:rsidR="00686F3A" w:rsidRPr="00BB79FA" w:rsidRDefault="00686F3A" w:rsidP="088FD2F0">
            <w:pPr>
              <w:pStyle w:val="ListParagraph"/>
              <w:spacing w:after="0" w:line="240" w:lineRule="auto"/>
              <w:rPr>
                <w:rFonts w:ascii="Arial" w:eastAsia="Arial" w:hAnsi="Arial" w:cs="Arial"/>
                <w:i/>
                <w:color w:val="000000" w:themeColor="text1"/>
                <w:lang w:eastAsia="en-GB"/>
              </w:rPr>
            </w:pPr>
          </w:p>
          <w:p w14:paraId="0C31D623" w14:textId="1380B9FB" w:rsidR="00686F3A" w:rsidRPr="00BB79FA" w:rsidRDefault="5093CFDA" w:rsidP="00A23969">
            <w:pPr>
              <w:pStyle w:val="ListParagraph"/>
              <w:numPr>
                <w:ilvl w:val="0"/>
                <w:numId w:val="34"/>
              </w:num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assigned a risk weight of 30% in Table 6B </w:t>
            </w:r>
            <w:r w:rsidR="00B3663E" w:rsidRPr="00BB79FA">
              <w:rPr>
                <w:rFonts w:ascii="Arial" w:eastAsia="Arial" w:hAnsi="Arial" w:cs="Arial"/>
                <w:i/>
                <w:color w:val="000000" w:themeColor="text1"/>
                <w:lang w:eastAsia="en-GB"/>
              </w:rPr>
              <w:t>under</w:t>
            </w:r>
            <w:r w:rsidRPr="00BB79FA">
              <w:rPr>
                <w:rFonts w:ascii="Arial" w:eastAsia="Arial" w:hAnsi="Arial" w:cs="Arial"/>
                <w:i/>
                <w:color w:val="000000" w:themeColor="text1"/>
                <w:lang w:eastAsia="en-GB"/>
              </w:rPr>
              <w:t xml:space="preserve"> Article 124G of the Credit Risk: Standardised Approach (CRR) Part,</w:t>
            </w:r>
          </w:p>
          <w:p w14:paraId="0B9A3FF8" w14:textId="70EA7D9C" w:rsidR="00686F3A" w:rsidRPr="00BB79FA" w:rsidRDefault="00686F3A" w:rsidP="088FD2F0">
            <w:pPr>
              <w:spacing w:after="0" w:line="240" w:lineRule="auto"/>
              <w:rPr>
                <w:rFonts w:ascii="Arial" w:eastAsia="Arial" w:hAnsi="Arial" w:cs="Arial"/>
                <w:i/>
                <w:color w:val="000000" w:themeColor="text1"/>
                <w:lang w:eastAsia="en-GB"/>
              </w:rPr>
            </w:pPr>
          </w:p>
          <w:p w14:paraId="30444085" w14:textId="4FF3635D" w:rsidR="00686F3A" w:rsidRPr="00BB79FA" w:rsidRDefault="5093CFDA"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shall be reported here.</w:t>
            </w:r>
          </w:p>
          <w:p w14:paraId="501383B6" w14:textId="3D1C0A77" w:rsidR="00686F3A" w:rsidRPr="00BB79FA" w:rsidRDefault="00686F3A" w:rsidP="00686F3A">
            <w:pPr>
              <w:spacing w:after="0" w:line="240" w:lineRule="auto"/>
              <w:rPr>
                <w:rFonts w:ascii="Arial" w:eastAsia="Arial" w:hAnsi="Arial" w:cs="Arial"/>
                <w:i/>
                <w:color w:val="000000"/>
                <w:kern w:val="0"/>
                <w:lang w:eastAsia="en-GB"/>
                <w14:ligatures w14:val="none"/>
              </w:rPr>
            </w:pPr>
          </w:p>
        </w:tc>
      </w:tr>
      <w:tr w:rsidR="00686F3A" w:rsidRPr="00BB79FA" w14:paraId="5C30C1D0" w14:textId="77777777" w:rsidTr="005E746E">
        <w:trPr>
          <w:trHeight w:val="276"/>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72089F6E" w14:textId="777777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162</w:t>
            </w:r>
          </w:p>
        </w:tc>
        <w:tc>
          <w:tcPr>
            <w:tcW w:w="7655" w:type="dxa"/>
            <w:tcBorders>
              <w:top w:val="nil"/>
              <w:left w:val="nil"/>
              <w:bottom w:val="single" w:sz="4" w:space="0" w:color="auto"/>
              <w:right w:val="single" w:sz="4" w:space="0" w:color="auto"/>
            </w:tcBorders>
            <w:shd w:val="clear" w:color="auto" w:fill="FFFFFF" w:themeFill="background1"/>
            <w:noWrap/>
            <w:hideMark/>
          </w:tcPr>
          <w:p w14:paraId="34F1257F" w14:textId="77777777" w:rsidR="00686F3A" w:rsidRPr="00BB79FA" w:rsidRDefault="00686F3A" w:rsidP="088FD2F0">
            <w:pPr>
              <w:spacing w:after="0" w:line="240" w:lineRule="auto"/>
              <w:rPr>
                <w:rFonts w:ascii="Arial" w:eastAsia="Arial" w:hAnsi="Arial" w:cs="Arial"/>
                <w:i/>
                <w:color w:val="000000" w:themeColor="text1"/>
                <w:u w:val="single"/>
                <w:lang w:eastAsia="en-GB"/>
              </w:rPr>
            </w:pPr>
            <w:r w:rsidRPr="00BB79FA">
              <w:rPr>
                <w:rFonts w:ascii="Arial" w:eastAsia="Arial" w:hAnsi="Arial" w:cs="Arial"/>
                <w:i/>
                <w:color w:val="000000"/>
                <w:kern w:val="0"/>
                <w:u w:val="single"/>
                <w:lang w:eastAsia="en-GB"/>
                <w14:ligatures w14:val="none"/>
              </w:rPr>
              <w:t xml:space="preserve">      of which: assigned a RW of 35%</w:t>
            </w:r>
          </w:p>
          <w:p w14:paraId="0FE53528" w14:textId="4B30B25A" w:rsidR="00686F3A" w:rsidRPr="00BB79FA" w:rsidRDefault="00686F3A" w:rsidP="088FD2F0">
            <w:pPr>
              <w:spacing w:after="0" w:line="240" w:lineRule="auto"/>
              <w:rPr>
                <w:rFonts w:ascii="Arial" w:eastAsia="Arial" w:hAnsi="Arial" w:cs="Arial"/>
                <w:i/>
                <w:color w:val="000000" w:themeColor="text1"/>
                <w:lang w:eastAsia="en-GB"/>
              </w:rPr>
            </w:pPr>
          </w:p>
          <w:p w14:paraId="35879152" w14:textId="6D9FCC7B" w:rsidR="00686F3A" w:rsidRPr="00BB79FA" w:rsidRDefault="50F11C08"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Only exposures that are: </w:t>
            </w:r>
          </w:p>
          <w:p w14:paraId="21F36179" w14:textId="1B6334FE" w:rsidR="00686F3A" w:rsidRPr="00BB79FA" w:rsidRDefault="00686F3A" w:rsidP="088FD2F0">
            <w:pPr>
              <w:spacing w:after="0" w:line="240" w:lineRule="auto"/>
              <w:rPr>
                <w:rFonts w:ascii="Arial" w:eastAsia="Arial" w:hAnsi="Arial" w:cs="Arial"/>
                <w:i/>
                <w:color w:val="000000" w:themeColor="text1"/>
                <w:lang w:eastAsia="en-GB"/>
              </w:rPr>
            </w:pPr>
          </w:p>
          <w:p w14:paraId="1C5135C3" w14:textId="1606E307" w:rsidR="00686F3A" w:rsidRPr="00BB79FA" w:rsidRDefault="50F11C08" w:rsidP="00A23969">
            <w:pPr>
              <w:pStyle w:val="ListParagraph"/>
              <w:numPr>
                <w:ilvl w:val="0"/>
                <w:numId w:val="33"/>
              </w:num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classified as materially dependent on the cash</w:t>
            </w:r>
            <w:r w:rsidR="00256B22">
              <w:rPr>
                <w:rFonts w:ascii="Arial" w:eastAsia="Arial" w:hAnsi="Arial" w:cs="Arial"/>
                <w:i/>
                <w:color w:val="000000" w:themeColor="text1"/>
                <w:lang w:eastAsia="en-GB"/>
              </w:rPr>
              <w:t>-</w:t>
            </w:r>
            <w:r w:rsidRPr="00BB79FA">
              <w:rPr>
                <w:rFonts w:ascii="Arial" w:eastAsia="Arial" w:hAnsi="Arial" w:cs="Arial"/>
                <w:i/>
                <w:color w:val="000000" w:themeColor="text1"/>
                <w:lang w:eastAsia="en-GB"/>
              </w:rPr>
              <w:t>flows generated by the property under Article 124E of the Credit Risk: Standardised Approach (CRR) Part; and</w:t>
            </w:r>
          </w:p>
          <w:p w14:paraId="7F822BF2" w14:textId="78C1E331" w:rsidR="00686F3A" w:rsidRPr="00BB79FA" w:rsidRDefault="00686F3A" w:rsidP="088FD2F0">
            <w:pPr>
              <w:pStyle w:val="ListParagraph"/>
              <w:spacing w:after="0" w:line="240" w:lineRule="auto"/>
              <w:rPr>
                <w:rFonts w:ascii="Arial" w:eastAsia="Arial" w:hAnsi="Arial" w:cs="Arial"/>
                <w:i/>
                <w:color w:val="000000" w:themeColor="text1"/>
                <w:lang w:eastAsia="en-GB"/>
              </w:rPr>
            </w:pPr>
          </w:p>
          <w:p w14:paraId="2137F5D0" w14:textId="6A5EE07F" w:rsidR="00686F3A" w:rsidRPr="00BB79FA" w:rsidRDefault="50F11C08" w:rsidP="00A23969">
            <w:pPr>
              <w:pStyle w:val="ListParagraph"/>
              <w:numPr>
                <w:ilvl w:val="0"/>
                <w:numId w:val="33"/>
              </w:num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assigned a risk weight of 35% in Table 6B </w:t>
            </w:r>
            <w:r w:rsidR="00613345" w:rsidRPr="00BB79FA">
              <w:rPr>
                <w:rFonts w:ascii="Arial" w:eastAsia="Arial" w:hAnsi="Arial" w:cs="Arial"/>
                <w:i/>
                <w:color w:val="000000" w:themeColor="text1"/>
                <w:lang w:eastAsia="en-GB"/>
              </w:rPr>
              <w:t>under</w:t>
            </w:r>
            <w:r w:rsidRPr="00BB79FA">
              <w:rPr>
                <w:rFonts w:ascii="Arial" w:eastAsia="Arial" w:hAnsi="Arial" w:cs="Arial"/>
                <w:i/>
                <w:color w:val="000000" w:themeColor="text1"/>
                <w:lang w:eastAsia="en-GB"/>
              </w:rPr>
              <w:t xml:space="preserve"> Article 124G of the Credit Risk: Standardised Approach (CRR) Part,</w:t>
            </w:r>
          </w:p>
          <w:p w14:paraId="532080E2" w14:textId="70EA7D9C" w:rsidR="00686F3A" w:rsidRPr="00BB79FA" w:rsidRDefault="00686F3A" w:rsidP="088FD2F0">
            <w:pPr>
              <w:spacing w:after="0" w:line="240" w:lineRule="auto"/>
              <w:rPr>
                <w:rFonts w:ascii="Arial" w:eastAsia="Arial" w:hAnsi="Arial" w:cs="Arial"/>
                <w:i/>
                <w:color w:val="000000" w:themeColor="text1"/>
                <w:lang w:eastAsia="en-GB"/>
              </w:rPr>
            </w:pPr>
          </w:p>
          <w:p w14:paraId="1DDE1D67" w14:textId="1CB4F7D2" w:rsidR="00686F3A" w:rsidRPr="00BB79FA" w:rsidRDefault="50F11C08"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shall be reported here.</w:t>
            </w:r>
          </w:p>
          <w:p w14:paraId="4FD93E1D" w14:textId="3A1ED130" w:rsidR="00686F3A" w:rsidRPr="00BB79FA" w:rsidRDefault="00686F3A" w:rsidP="00686F3A">
            <w:pPr>
              <w:spacing w:after="0" w:line="240" w:lineRule="auto"/>
              <w:rPr>
                <w:rFonts w:ascii="Arial" w:eastAsia="Arial" w:hAnsi="Arial" w:cs="Arial"/>
                <w:i/>
                <w:color w:val="000000"/>
                <w:kern w:val="0"/>
                <w:lang w:eastAsia="en-GB"/>
                <w14:ligatures w14:val="none"/>
              </w:rPr>
            </w:pPr>
          </w:p>
        </w:tc>
      </w:tr>
      <w:tr w:rsidR="00686F3A" w:rsidRPr="00BB79FA" w14:paraId="49DB4F06" w14:textId="77777777" w:rsidTr="005E746E">
        <w:trPr>
          <w:trHeight w:val="276"/>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55883C40" w14:textId="777777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163</w:t>
            </w:r>
          </w:p>
        </w:tc>
        <w:tc>
          <w:tcPr>
            <w:tcW w:w="7655" w:type="dxa"/>
            <w:tcBorders>
              <w:top w:val="nil"/>
              <w:left w:val="nil"/>
              <w:bottom w:val="single" w:sz="4" w:space="0" w:color="auto"/>
              <w:right w:val="single" w:sz="4" w:space="0" w:color="auto"/>
            </w:tcBorders>
            <w:shd w:val="clear" w:color="auto" w:fill="FFFFFF" w:themeFill="background1"/>
            <w:noWrap/>
            <w:hideMark/>
          </w:tcPr>
          <w:p w14:paraId="55D5D42F" w14:textId="77777777" w:rsidR="00686F3A" w:rsidRPr="00BB79FA" w:rsidRDefault="00686F3A" w:rsidP="088FD2F0">
            <w:pPr>
              <w:spacing w:after="0" w:line="240" w:lineRule="auto"/>
              <w:rPr>
                <w:rFonts w:ascii="Arial" w:eastAsia="Arial" w:hAnsi="Arial" w:cs="Arial"/>
                <w:i/>
                <w:color w:val="000000" w:themeColor="text1"/>
                <w:u w:val="single"/>
                <w:lang w:eastAsia="en-GB"/>
              </w:rPr>
            </w:pPr>
            <w:r w:rsidRPr="00BB79FA">
              <w:rPr>
                <w:rFonts w:ascii="Arial" w:eastAsia="Arial" w:hAnsi="Arial" w:cs="Arial"/>
                <w:i/>
                <w:color w:val="000000"/>
                <w:kern w:val="0"/>
                <w:u w:val="single"/>
                <w:lang w:eastAsia="en-GB"/>
                <w14:ligatures w14:val="none"/>
              </w:rPr>
              <w:t xml:space="preserve">      of which: assigned a RW of 40%</w:t>
            </w:r>
          </w:p>
          <w:p w14:paraId="38323602" w14:textId="1CCEA6CA" w:rsidR="00686F3A" w:rsidRPr="00BB79FA" w:rsidRDefault="00686F3A" w:rsidP="088FD2F0">
            <w:pPr>
              <w:spacing w:after="0" w:line="240" w:lineRule="auto"/>
              <w:rPr>
                <w:rFonts w:ascii="Arial" w:eastAsia="Arial" w:hAnsi="Arial" w:cs="Arial"/>
                <w:i/>
                <w:color w:val="000000" w:themeColor="text1"/>
                <w:lang w:eastAsia="en-GB"/>
              </w:rPr>
            </w:pPr>
          </w:p>
          <w:p w14:paraId="2641DA99" w14:textId="6D9FCC7B" w:rsidR="00686F3A" w:rsidRPr="00BB79FA" w:rsidRDefault="1465C831"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Only exposures that are: </w:t>
            </w:r>
          </w:p>
          <w:p w14:paraId="4FF047B7" w14:textId="1B6334FE" w:rsidR="00686F3A" w:rsidRPr="00BB79FA" w:rsidRDefault="00686F3A" w:rsidP="088FD2F0">
            <w:pPr>
              <w:spacing w:after="0" w:line="240" w:lineRule="auto"/>
              <w:rPr>
                <w:rFonts w:ascii="Arial" w:eastAsia="Arial" w:hAnsi="Arial" w:cs="Arial"/>
                <w:i/>
                <w:color w:val="000000" w:themeColor="text1"/>
                <w:lang w:eastAsia="en-GB"/>
              </w:rPr>
            </w:pPr>
          </w:p>
          <w:p w14:paraId="40A9CA29" w14:textId="3A1DCEE0" w:rsidR="00686F3A" w:rsidRPr="00BB79FA" w:rsidRDefault="1465C831" w:rsidP="00A23969">
            <w:pPr>
              <w:pStyle w:val="ListParagraph"/>
              <w:numPr>
                <w:ilvl w:val="0"/>
                <w:numId w:val="32"/>
              </w:num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classified as materially dependent on the cash</w:t>
            </w:r>
            <w:r w:rsidR="00256B22">
              <w:rPr>
                <w:rFonts w:ascii="Arial" w:eastAsia="Arial" w:hAnsi="Arial" w:cs="Arial"/>
                <w:i/>
                <w:color w:val="000000" w:themeColor="text1"/>
                <w:lang w:eastAsia="en-GB"/>
              </w:rPr>
              <w:t>-</w:t>
            </w:r>
            <w:r w:rsidRPr="00BB79FA">
              <w:rPr>
                <w:rFonts w:ascii="Arial" w:eastAsia="Arial" w:hAnsi="Arial" w:cs="Arial"/>
                <w:i/>
                <w:color w:val="000000" w:themeColor="text1"/>
                <w:lang w:eastAsia="en-GB"/>
              </w:rPr>
              <w:t>flows generated by the property under Article 124E of the Credit Risk: Standardised Approach (CRR) Part; and</w:t>
            </w:r>
          </w:p>
          <w:p w14:paraId="0EC565F0" w14:textId="78C1E331" w:rsidR="00686F3A" w:rsidRPr="00BB79FA" w:rsidRDefault="00686F3A" w:rsidP="088FD2F0">
            <w:pPr>
              <w:pStyle w:val="ListParagraph"/>
              <w:spacing w:after="0" w:line="240" w:lineRule="auto"/>
              <w:rPr>
                <w:rFonts w:ascii="Arial" w:eastAsia="Arial" w:hAnsi="Arial" w:cs="Arial"/>
                <w:i/>
                <w:color w:val="000000" w:themeColor="text1"/>
                <w:lang w:eastAsia="en-GB"/>
              </w:rPr>
            </w:pPr>
          </w:p>
          <w:p w14:paraId="6CD24E85" w14:textId="1F7D5543" w:rsidR="00686F3A" w:rsidRPr="00BB79FA" w:rsidRDefault="1465C831" w:rsidP="00A23969">
            <w:pPr>
              <w:pStyle w:val="ListParagraph"/>
              <w:numPr>
                <w:ilvl w:val="0"/>
                <w:numId w:val="32"/>
              </w:num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assigned a risk weight of 40% </w:t>
            </w:r>
            <w:r w:rsidR="00613345" w:rsidRPr="00BB79FA">
              <w:rPr>
                <w:rFonts w:ascii="Arial" w:eastAsia="Arial" w:hAnsi="Arial" w:cs="Arial"/>
                <w:i/>
                <w:color w:val="000000" w:themeColor="text1"/>
                <w:lang w:eastAsia="en-GB"/>
              </w:rPr>
              <w:t>in</w:t>
            </w:r>
            <w:r w:rsidRPr="00BB79FA">
              <w:rPr>
                <w:rFonts w:ascii="Arial" w:eastAsia="Arial" w:hAnsi="Arial" w:cs="Arial"/>
                <w:i/>
                <w:color w:val="000000" w:themeColor="text1"/>
                <w:lang w:eastAsia="en-GB"/>
              </w:rPr>
              <w:t xml:space="preserve"> Table 6B </w:t>
            </w:r>
            <w:r w:rsidR="00613345" w:rsidRPr="00BB79FA">
              <w:rPr>
                <w:rFonts w:ascii="Arial" w:eastAsia="Arial" w:hAnsi="Arial" w:cs="Arial"/>
                <w:i/>
                <w:color w:val="000000" w:themeColor="text1"/>
                <w:lang w:eastAsia="en-GB"/>
              </w:rPr>
              <w:t>under</w:t>
            </w:r>
            <w:r w:rsidRPr="00BB79FA">
              <w:rPr>
                <w:rFonts w:ascii="Arial" w:eastAsia="Arial" w:hAnsi="Arial" w:cs="Arial"/>
                <w:i/>
                <w:color w:val="000000" w:themeColor="text1"/>
                <w:lang w:eastAsia="en-GB"/>
              </w:rPr>
              <w:t xml:space="preserve"> Article 124G of the Credit Risk: Standardised Approach (CRR) Part,</w:t>
            </w:r>
          </w:p>
          <w:p w14:paraId="17561273" w14:textId="70EA7D9C" w:rsidR="00686F3A" w:rsidRPr="00BB79FA" w:rsidRDefault="00686F3A" w:rsidP="088FD2F0">
            <w:pPr>
              <w:spacing w:after="0" w:line="240" w:lineRule="auto"/>
              <w:rPr>
                <w:rFonts w:ascii="Arial" w:eastAsia="Arial" w:hAnsi="Arial" w:cs="Arial"/>
                <w:i/>
                <w:color w:val="000000" w:themeColor="text1"/>
                <w:lang w:eastAsia="en-GB"/>
              </w:rPr>
            </w:pPr>
          </w:p>
          <w:p w14:paraId="42A09419" w14:textId="0B7F6194" w:rsidR="00686F3A" w:rsidRPr="00BB79FA" w:rsidRDefault="1465C831"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shall be reported here.</w:t>
            </w:r>
          </w:p>
          <w:p w14:paraId="667C4E78" w14:textId="41EAD209" w:rsidR="00686F3A" w:rsidRPr="00BB79FA" w:rsidRDefault="00686F3A" w:rsidP="00686F3A">
            <w:pPr>
              <w:spacing w:after="0" w:line="240" w:lineRule="auto"/>
              <w:rPr>
                <w:rFonts w:ascii="Arial" w:eastAsia="Arial" w:hAnsi="Arial" w:cs="Arial"/>
                <w:i/>
                <w:color w:val="000000"/>
                <w:kern w:val="0"/>
                <w:lang w:eastAsia="en-GB"/>
                <w14:ligatures w14:val="none"/>
              </w:rPr>
            </w:pPr>
          </w:p>
        </w:tc>
      </w:tr>
      <w:tr w:rsidR="00686F3A" w:rsidRPr="00BB79FA" w14:paraId="20799D16" w14:textId="77777777" w:rsidTr="005E746E">
        <w:trPr>
          <w:trHeight w:val="276"/>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7D737590" w14:textId="777777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lastRenderedPageBreak/>
              <w:t>164</w:t>
            </w:r>
          </w:p>
        </w:tc>
        <w:tc>
          <w:tcPr>
            <w:tcW w:w="7655" w:type="dxa"/>
            <w:tcBorders>
              <w:top w:val="nil"/>
              <w:left w:val="nil"/>
              <w:bottom w:val="single" w:sz="4" w:space="0" w:color="auto"/>
              <w:right w:val="single" w:sz="4" w:space="0" w:color="auto"/>
            </w:tcBorders>
            <w:shd w:val="clear" w:color="auto" w:fill="FFFFFF" w:themeFill="background1"/>
            <w:noWrap/>
            <w:hideMark/>
          </w:tcPr>
          <w:p w14:paraId="37561101" w14:textId="77777777" w:rsidR="00686F3A" w:rsidRPr="00BB79FA" w:rsidRDefault="00686F3A" w:rsidP="088FD2F0">
            <w:pPr>
              <w:spacing w:after="0" w:line="240" w:lineRule="auto"/>
              <w:rPr>
                <w:rFonts w:ascii="Arial" w:eastAsia="Arial" w:hAnsi="Arial" w:cs="Arial"/>
                <w:i/>
                <w:color w:val="000000" w:themeColor="text1"/>
                <w:u w:val="single"/>
                <w:lang w:eastAsia="en-GB"/>
              </w:rPr>
            </w:pPr>
            <w:r w:rsidRPr="00BB79FA">
              <w:rPr>
                <w:rFonts w:ascii="Arial" w:eastAsia="Arial" w:hAnsi="Arial" w:cs="Arial"/>
                <w:i/>
                <w:color w:val="000000"/>
                <w:kern w:val="0"/>
                <w:u w:val="single"/>
                <w:lang w:eastAsia="en-GB"/>
                <w14:ligatures w14:val="none"/>
              </w:rPr>
              <w:t xml:space="preserve">      of which: assigned a RW of 50%</w:t>
            </w:r>
          </w:p>
          <w:p w14:paraId="1032DD1D" w14:textId="1912BEC2" w:rsidR="00686F3A" w:rsidRPr="00BB79FA" w:rsidRDefault="00686F3A" w:rsidP="088FD2F0">
            <w:pPr>
              <w:spacing w:after="0" w:line="240" w:lineRule="auto"/>
              <w:rPr>
                <w:rFonts w:ascii="Arial" w:eastAsia="Arial" w:hAnsi="Arial" w:cs="Arial"/>
                <w:i/>
                <w:color w:val="000000" w:themeColor="text1"/>
                <w:lang w:eastAsia="en-GB"/>
              </w:rPr>
            </w:pPr>
          </w:p>
          <w:p w14:paraId="3BAF5DFE" w14:textId="6D9FCC7B" w:rsidR="00686F3A" w:rsidRPr="00BB79FA" w:rsidRDefault="59C19AF8"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Only exposures that are: </w:t>
            </w:r>
          </w:p>
          <w:p w14:paraId="35A9F389" w14:textId="1B6334FE" w:rsidR="00686F3A" w:rsidRPr="00BB79FA" w:rsidRDefault="00686F3A" w:rsidP="088FD2F0">
            <w:pPr>
              <w:spacing w:after="0" w:line="240" w:lineRule="auto"/>
              <w:rPr>
                <w:rFonts w:ascii="Arial" w:eastAsia="Arial" w:hAnsi="Arial" w:cs="Arial"/>
                <w:i/>
                <w:color w:val="000000" w:themeColor="text1"/>
                <w:lang w:eastAsia="en-GB"/>
              </w:rPr>
            </w:pPr>
          </w:p>
          <w:p w14:paraId="5E61AC7F" w14:textId="2FCCF522" w:rsidR="00686F3A" w:rsidRPr="00BB79FA" w:rsidRDefault="59C19AF8" w:rsidP="00A23969">
            <w:pPr>
              <w:pStyle w:val="ListParagraph"/>
              <w:numPr>
                <w:ilvl w:val="0"/>
                <w:numId w:val="31"/>
              </w:num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classified as materially dependent on the cash</w:t>
            </w:r>
            <w:r w:rsidR="00256B22">
              <w:rPr>
                <w:rFonts w:ascii="Arial" w:eastAsia="Arial" w:hAnsi="Arial" w:cs="Arial"/>
                <w:i/>
                <w:color w:val="000000" w:themeColor="text1"/>
                <w:lang w:eastAsia="en-GB"/>
              </w:rPr>
              <w:t>-</w:t>
            </w:r>
            <w:r w:rsidRPr="00BB79FA">
              <w:rPr>
                <w:rFonts w:ascii="Arial" w:eastAsia="Arial" w:hAnsi="Arial" w:cs="Arial"/>
                <w:i/>
                <w:color w:val="000000" w:themeColor="text1"/>
                <w:lang w:eastAsia="en-GB"/>
              </w:rPr>
              <w:t>flows generated by the property under Article 124E of the Credit Risk: Standardised Approach (CRR) Part; and</w:t>
            </w:r>
          </w:p>
          <w:p w14:paraId="5A7B79CA" w14:textId="78C1E331" w:rsidR="00686F3A" w:rsidRPr="00BB79FA" w:rsidRDefault="00686F3A" w:rsidP="088FD2F0">
            <w:pPr>
              <w:pStyle w:val="ListParagraph"/>
              <w:spacing w:after="0" w:line="240" w:lineRule="auto"/>
              <w:rPr>
                <w:rFonts w:ascii="Arial" w:eastAsia="Arial" w:hAnsi="Arial" w:cs="Arial"/>
                <w:i/>
                <w:color w:val="000000" w:themeColor="text1"/>
                <w:lang w:eastAsia="en-GB"/>
              </w:rPr>
            </w:pPr>
          </w:p>
          <w:p w14:paraId="1DDA5928" w14:textId="46E4FA0A" w:rsidR="00686F3A" w:rsidRPr="00BB79FA" w:rsidRDefault="59C19AF8" w:rsidP="00A23969">
            <w:pPr>
              <w:pStyle w:val="ListParagraph"/>
              <w:numPr>
                <w:ilvl w:val="0"/>
                <w:numId w:val="31"/>
              </w:num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assigned a risk weight of 50% in Table 6B </w:t>
            </w:r>
            <w:r w:rsidR="00A173AF" w:rsidRPr="00BB79FA">
              <w:rPr>
                <w:rFonts w:ascii="Arial" w:eastAsia="Arial" w:hAnsi="Arial" w:cs="Arial"/>
                <w:i/>
                <w:color w:val="000000" w:themeColor="text1"/>
                <w:lang w:eastAsia="en-GB"/>
              </w:rPr>
              <w:t>under</w:t>
            </w:r>
            <w:r w:rsidRPr="00BB79FA">
              <w:rPr>
                <w:rFonts w:ascii="Arial" w:eastAsia="Arial" w:hAnsi="Arial" w:cs="Arial"/>
                <w:i/>
                <w:color w:val="000000" w:themeColor="text1"/>
                <w:lang w:eastAsia="en-GB"/>
              </w:rPr>
              <w:t xml:space="preserve"> Article 124G of the Credit Risk: Standardised Approach (CRR) Part,</w:t>
            </w:r>
          </w:p>
          <w:p w14:paraId="2011142D" w14:textId="70EA7D9C" w:rsidR="00686F3A" w:rsidRPr="00BB79FA" w:rsidRDefault="00686F3A" w:rsidP="088FD2F0">
            <w:pPr>
              <w:spacing w:after="0" w:line="240" w:lineRule="auto"/>
              <w:rPr>
                <w:rFonts w:ascii="Arial" w:eastAsia="Arial" w:hAnsi="Arial" w:cs="Arial"/>
                <w:i/>
                <w:color w:val="000000" w:themeColor="text1"/>
                <w:lang w:eastAsia="en-GB"/>
              </w:rPr>
            </w:pPr>
          </w:p>
          <w:p w14:paraId="778D7B2D" w14:textId="4E0A9FA5" w:rsidR="00686F3A" w:rsidRPr="00BB79FA" w:rsidRDefault="59C19AF8"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shall be reported here.</w:t>
            </w:r>
          </w:p>
          <w:p w14:paraId="51721417" w14:textId="69F6693A" w:rsidR="00686F3A" w:rsidRPr="00BB79FA" w:rsidRDefault="00686F3A" w:rsidP="00686F3A">
            <w:pPr>
              <w:spacing w:after="0" w:line="240" w:lineRule="auto"/>
              <w:rPr>
                <w:rFonts w:ascii="Arial" w:eastAsia="Arial" w:hAnsi="Arial" w:cs="Arial"/>
                <w:i/>
                <w:color w:val="000000"/>
                <w:kern w:val="0"/>
                <w:lang w:eastAsia="en-GB"/>
                <w14:ligatures w14:val="none"/>
              </w:rPr>
            </w:pPr>
          </w:p>
        </w:tc>
      </w:tr>
      <w:tr w:rsidR="00686F3A" w:rsidRPr="00BB79FA" w14:paraId="59AFFF87" w14:textId="77777777" w:rsidTr="005E746E">
        <w:trPr>
          <w:trHeight w:val="276"/>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748C0997" w14:textId="777777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165</w:t>
            </w:r>
          </w:p>
        </w:tc>
        <w:tc>
          <w:tcPr>
            <w:tcW w:w="7655" w:type="dxa"/>
            <w:tcBorders>
              <w:top w:val="nil"/>
              <w:left w:val="nil"/>
              <w:bottom w:val="single" w:sz="4" w:space="0" w:color="auto"/>
              <w:right w:val="single" w:sz="4" w:space="0" w:color="auto"/>
            </w:tcBorders>
            <w:shd w:val="clear" w:color="auto" w:fill="FFFFFF" w:themeFill="background1"/>
            <w:noWrap/>
            <w:hideMark/>
          </w:tcPr>
          <w:p w14:paraId="17801176" w14:textId="3190D970" w:rsidR="00686F3A" w:rsidRPr="00BB79FA" w:rsidRDefault="00686F3A"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kern w:val="0"/>
                <w:lang w:eastAsia="en-GB"/>
                <w14:ligatures w14:val="none"/>
              </w:rPr>
              <w:t xml:space="preserve"> </w:t>
            </w:r>
            <w:r w:rsidRPr="00BB79FA">
              <w:rPr>
                <w:rFonts w:ascii="Arial" w:eastAsia="Arial" w:hAnsi="Arial" w:cs="Arial"/>
                <w:i/>
                <w:color w:val="000000"/>
                <w:kern w:val="0"/>
                <w:u w:val="single"/>
                <w:lang w:eastAsia="en-GB"/>
                <w14:ligatures w14:val="none"/>
              </w:rPr>
              <w:t xml:space="preserve">     of which: assigned a RW of 60%</w:t>
            </w:r>
          </w:p>
          <w:p w14:paraId="2ABA365D" w14:textId="04674D7A" w:rsidR="00686F3A" w:rsidRPr="00BB79FA" w:rsidRDefault="00686F3A" w:rsidP="088FD2F0">
            <w:pPr>
              <w:spacing w:after="0" w:line="240" w:lineRule="auto"/>
              <w:rPr>
                <w:rFonts w:ascii="Arial" w:eastAsia="Arial" w:hAnsi="Arial" w:cs="Arial"/>
                <w:i/>
                <w:color w:val="000000" w:themeColor="text1"/>
                <w:lang w:eastAsia="en-GB"/>
              </w:rPr>
            </w:pPr>
          </w:p>
          <w:p w14:paraId="6225D327" w14:textId="6D9FCC7B" w:rsidR="00686F3A" w:rsidRPr="00BB79FA" w:rsidRDefault="4DF946B4"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Only exposures that are: </w:t>
            </w:r>
          </w:p>
          <w:p w14:paraId="10F48AB9" w14:textId="1B6334FE" w:rsidR="00686F3A" w:rsidRPr="00BB79FA" w:rsidRDefault="00686F3A" w:rsidP="088FD2F0">
            <w:pPr>
              <w:spacing w:after="0" w:line="240" w:lineRule="auto"/>
              <w:rPr>
                <w:rFonts w:ascii="Arial" w:eastAsia="Arial" w:hAnsi="Arial" w:cs="Arial"/>
                <w:i/>
                <w:color w:val="000000" w:themeColor="text1"/>
                <w:lang w:eastAsia="en-GB"/>
              </w:rPr>
            </w:pPr>
          </w:p>
          <w:p w14:paraId="59543385" w14:textId="3C166A36" w:rsidR="00686F3A" w:rsidRPr="00BB79FA" w:rsidRDefault="4DF946B4" w:rsidP="00A23969">
            <w:pPr>
              <w:pStyle w:val="ListParagraph"/>
              <w:numPr>
                <w:ilvl w:val="0"/>
                <w:numId w:val="30"/>
              </w:num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classified as materially dependent on the cash</w:t>
            </w:r>
            <w:r w:rsidR="00256B22">
              <w:rPr>
                <w:rFonts w:ascii="Arial" w:eastAsia="Arial" w:hAnsi="Arial" w:cs="Arial"/>
                <w:i/>
                <w:color w:val="000000" w:themeColor="text1"/>
                <w:lang w:eastAsia="en-GB"/>
              </w:rPr>
              <w:t>-</w:t>
            </w:r>
            <w:r w:rsidRPr="00BB79FA">
              <w:rPr>
                <w:rFonts w:ascii="Arial" w:eastAsia="Arial" w:hAnsi="Arial" w:cs="Arial"/>
                <w:i/>
                <w:color w:val="000000" w:themeColor="text1"/>
                <w:lang w:eastAsia="en-GB"/>
              </w:rPr>
              <w:t>flows generated by the property under Article 124E of the Credit Risk: Standardised Approach (CRR) Part; and</w:t>
            </w:r>
          </w:p>
          <w:p w14:paraId="48478BFE" w14:textId="78C1E331" w:rsidR="00686F3A" w:rsidRPr="00BB79FA" w:rsidRDefault="00686F3A" w:rsidP="088FD2F0">
            <w:pPr>
              <w:pStyle w:val="ListParagraph"/>
              <w:spacing w:after="0" w:line="240" w:lineRule="auto"/>
              <w:rPr>
                <w:rFonts w:ascii="Arial" w:eastAsia="Arial" w:hAnsi="Arial" w:cs="Arial"/>
                <w:i/>
                <w:color w:val="000000" w:themeColor="text1"/>
                <w:lang w:eastAsia="en-GB"/>
              </w:rPr>
            </w:pPr>
          </w:p>
          <w:p w14:paraId="73D4EE75" w14:textId="3E1C39B4" w:rsidR="00686F3A" w:rsidRPr="00BB79FA" w:rsidRDefault="4DF946B4" w:rsidP="00A23969">
            <w:pPr>
              <w:pStyle w:val="ListParagraph"/>
              <w:numPr>
                <w:ilvl w:val="0"/>
                <w:numId w:val="30"/>
              </w:num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assigned a risk weight of 60% in Table 6B </w:t>
            </w:r>
            <w:r w:rsidR="0046358B" w:rsidRPr="00BB79FA">
              <w:rPr>
                <w:rFonts w:ascii="Arial" w:eastAsia="Arial" w:hAnsi="Arial" w:cs="Arial"/>
                <w:i/>
                <w:color w:val="000000" w:themeColor="text1"/>
                <w:lang w:eastAsia="en-GB"/>
              </w:rPr>
              <w:t>under</w:t>
            </w:r>
            <w:r w:rsidRPr="00BB79FA">
              <w:rPr>
                <w:rFonts w:ascii="Arial" w:eastAsia="Arial" w:hAnsi="Arial" w:cs="Arial"/>
                <w:i/>
                <w:color w:val="000000" w:themeColor="text1"/>
                <w:lang w:eastAsia="en-GB"/>
              </w:rPr>
              <w:t xml:space="preserve"> Article 124G of the Credit Risk: Standardised Approach (CRR) Part,</w:t>
            </w:r>
          </w:p>
          <w:p w14:paraId="00F6E3F6" w14:textId="70EA7D9C" w:rsidR="00686F3A" w:rsidRPr="00BB79FA" w:rsidRDefault="00686F3A" w:rsidP="088FD2F0">
            <w:pPr>
              <w:spacing w:after="0" w:line="240" w:lineRule="auto"/>
              <w:rPr>
                <w:rFonts w:ascii="Arial" w:eastAsia="Arial" w:hAnsi="Arial" w:cs="Arial"/>
                <w:i/>
                <w:color w:val="000000" w:themeColor="text1"/>
                <w:lang w:eastAsia="en-GB"/>
              </w:rPr>
            </w:pPr>
          </w:p>
          <w:p w14:paraId="3A9121B6" w14:textId="7EFBC6C2" w:rsidR="00686F3A" w:rsidRPr="00BB79FA" w:rsidRDefault="4DF946B4"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shall be reported here.</w:t>
            </w:r>
          </w:p>
          <w:p w14:paraId="3B58D354" w14:textId="122DC882" w:rsidR="00686F3A" w:rsidRPr="00BB79FA" w:rsidRDefault="00686F3A" w:rsidP="00686F3A">
            <w:pPr>
              <w:spacing w:after="0" w:line="240" w:lineRule="auto"/>
              <w:rPr>
                <w:rFonts w:ascii="Arial" w:eastAsia="Arial" w:hAnsi="Arial" w:cs="Arial"/>
                <w:i/>
                <w:color w:val="000000"/>
                <w:kern w:val="0"/>
                <w:lang w:eastAsia="en-GB"/>
                <w14:ligatures w14:val="none"/>
              </w:rPr>
            </w:pPr>
          </w:p>
        </w:tc>
      </w:tr>
      <w:tr w:rsidR="00686F3A" w:rsidRPr="00BB79FA" w14:paraId="141227E7" w14:textId="77777777" w:rsidTr="005E746E">
        <w:trPr>
          <w:trHeight w:val="276"/>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4FEAB8DB" w14:textId="777777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166</w:t>
            </w:r>
          </w:p>
        </w:tc>
        <w:tc>
          <w:tcPr>
            <w:tcW w:w="7655" w:type="dxa"/>
            <w:tcBorders>
              <w:top w:val="nil"/>
              <w:left w:val="nil"/>
              <w:bottom w:val="single" w:sz="4" w:space="0" w:color="auto"/>
              <w:right w:val="single" w:sz="4" w:space="0" w:color="auto"/>
            </w:tcBorders>
            <w:shd w:val="clear" w:color="auto" w:fill="FFFFFF" w:themeFill="background1"/>
            <w:noWrap/>
            <w:hideMark/>
          </w:tcPr>
          <w:p w14:paraId="36623DDE" w14:textId="64671C43" w:rsidR="00686F3A" w:rsidRPr="00BB79FA" w:rsidRDefault="00686F3A"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kern w:val="0"/>
                <w:lang w:eastAsia="en-GB"/>
                <w14:ligatures w14:val="none"/>
              </w:rPr>
              <w:t xml:space="preserve"> </w:t>
            </w:r>
            <w:r w:rsidRPr="00BB79FA">
              <w:rPr>
                <w:rFonts w:ascii="Arial" w:eastAsia="Arial" w:hAnsi="Arial" w:cs="Arial"/>
                <w:i/>
                <w:color w:val="000000"/>
                <w:kern w:val="0"/>
                <w:u w:val="single"/>
                <w:lang w:eastAsia="en-GB"/>
                <w14:ligatures w14:val="none"/>
              </w:rPr>
              <w:t xml:space="preserve">     of which: assigned a RW of 75%</w:t>
            </w:r>
          </w:p>
          <w:p w14:paraId="240E4EAB" w14:textId="2628E307" w:rsidR="00686F3A" w:rsidRPr="00BB79FA" w:rsidRDefault="00686F3A" w:rsidP="088FD2F0">
            <w:pPr>
              <w:spacing w:after="0" w:line="240" w:lineRule="auto"/>
              <w:rPr>
                <w:rFonts w:ascii="Arial" w:eastAsia="Arial" w:hAnsi="Arial" w:cs="Arial"/>
                <w:i/>
                <w:color w:val="000000" w:themeColor="text1"/>
                <w:lang w:eastAsia="en-GB"/>
              </w:rPr>
            </w:pPr>
          </w:p>
          <w:p w14:paraId="5BA4A1E5" w14:textId="6D9FCC7B" w:rsidR="00686F3A" w:rsidRPr="00BB79FA" w:rsidRDefault="0DC6A999"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Only exposures that are: </w:t>
            </w:r>
          </w:p>
          <w:p w14:paraId="4778B4B9" w14:textId="1B6334FE" w:rsidR="00686F3A" w:rsidRPr="00BB79FA" w:rsidRDefault="00686F3A" w:rsidP="088FD2F0">
            <w:pPr>
              <w:spacing w:after="0" w:line="240" w:lineRule="auto"/>
              <w:rPr>
                <w:rFonts w:ascii="Arial" w:eastAsia="Arial" w:hAnsi="Arial" w:cs="Arial"/>
                <w:i/>
                <w:color w:val="000000" w:themeColor="text1"/>
                <w:lang w:eastAsia="en-GB"/>
              </w:rPr>
            </w:pPr>
          </w:p>
          <w:p w14:paraId="5058B52F" w14:textId="59B4EB35" w:rsidR="00686F3A" w:rsidRPr="00BB79FA" w:rsidRDefault="0DC6A999" w:rsidP="00A23969">
            <w:pPr>
              <w:pStyle w:val="ListParagraph"/>
              <w:numPr>
                <w:ilvl w:val="0"/>
                <w:numId w:val="29"/>
              </w:num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classified as materially dependent on the cash</w:t>
            </w:r>
            <w:r w:rsidR="00256B22">
              <w:rPr>
                <w:rFonts w:ascii="Arial" w:eastAsia="Arial" w:hAnsi="Arial" w:cs="Arial"/>
                <w:i/>
                <w:color w:val="000000" w:themeColor="text1"/>
                <w:lang w:eastAsia="en-GB"/>
              </w:rPr>
              <w:t>-</w:t>
            </w:r>
            <w:r w:rsidRPr="00BB79FA">
              <w:rPr>
                <w:rFonts w:ascii="Arial" w:eastAsia="Arial" w:hAnsi="Arial" w:cs="Arial"/>
                <w:i/>
                <w:color w:val="000000" w:themeColor="text1"/>
                <w:lang w:eastAsia="en-GB"/>
              </w:rPr>
              <w:t>flows generated by the property under Article 124E of the Credit Risk: Standardised Approach (CRR) Part; and</w:t>
            </w:r>
          </w:p>
          <w:p w14:paraId="5B2940A8" w14:textId="78C1E331" w:rsidR="00686F3A" w:rsidRPr="00BB79FA" w:rsidRDefault="00686F3A" w:rsidP="088FD2F0">
            <w:pPr>
              <w:pStyle w:val="ListParagraph"/>
              <w:spacing w:after="0" w:line="240" w:lineRule="auto"/>
              <w:rPr>
                <w:rFonts w:ascii="Arial" w:eastAsia="Arial" w:hAnsi="Arial" w:cs="Arial"/>
                <w:i/>
                <w:color w:val="000000" w:themeColor="text1"/>
                <w:lang w:eastAsia="en-GB"/>
              </w:rPr>
            </w:pPr>
          </w:p>
          <w:p w14:paraId="1FC68F3E" w14:textId="2013E1EE" w:rsidR="00686F3A" w:rsidRPr="00BB79FA" w:rsidRDefault="0DC6A999" w:rsidP="00A23969">
            <w:pPr>
              <w:pStyle w:val="ListParagraph"/>
              <w:numPr>
                <w:ilvl w:val="0"/>
                <w:numId w:val="29"/>
              </w:num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assigned a risk weight of 75% in Table 6B </w:t>
            </w:r>
            <w:r w:rsidR="0046358B" w:rsidRPr="00BB79FA">
              <w:rPr>
                <w:rFonts w:ascii="Arial" w:eastAsia="Arial" w:hAnsi="Arial" w:cs="Arial"/>
                <w:i/>
                <w:color w:val="000000" w:themeColor="text1"/>
                <w:lang w:eastAsia="en-GB"/>
              </w:rPr>
              <w:t>under</w:t>
            </w:r>
            <w:r w:rsidRPr="00BB79FA">
              <w:rPr>
                <w:rFonts w:ascii="Arial" w:eastAsia="Arial" w:hAnsi="Arial" w:cs="Arial"/>
                <w:i/>
                <w:color w:val="000000" w:themeColor="text1"/>
                <w:lang w:eastAsia="en-GB"/>
              </w:rPr>
              <w:t xml:space="preserve"> Article 124G of the Credit Risk: Standardised Approach (CRR) Part,</w:t>
            </w:r>
          </w:p>
          <w:p w14:paraId="3A3064FB" w14:textId="70EA7D9C" w:rsidR="00686F3A" w:rsidRPr="00BB79FA" w:rsidRDefault="00686F3A" w:rsidP="088FD2F0">
            <w:pPr>
              <w:spacing w:after="0" w:line="240" w:lineRule="auto"/>
              <w:rPr>
                <w:rFonts w:ascii="Arial" w:eastAsia="Arial" w:hAnsi="Arial" w:cs="Arial"/>
                <w:i/>
                <w:color w:val="000000" w:themeColor="text1"/>
                <w:lang w:eastAsia="en-GB"/>
              </w:rPr>
            </w:pPr>
          </w:p>
          <w:p w14:paraId="17F62374" w14:textId="6E7740C9" w:rsidR="00686F3A" w:rsidRPr="00BB79FA" w:rsidRDefault="0DC6A999"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shall be reported here.</w:t>
            </w:r>
          </w:p>
          <w:p w14:paraId="7AC28917" w14:textId="68367F1C" w:rsidR="00686F3A" w:rsidRPr="00BB79FA" w:rsidRDefault="00686F3A" w:rsidP="00686F3A">
            <w:pPr>
              <w:spacing w:after="0" w:line="240" w:lineRule="auto"/>
              <w:rPr>
                <w:rFonts w:ascii="Arial" w:eastAsia="Arial" w:hAnsi="Arial" w:cs="Arial"/>
                <w:i/>
                <w:color w:val="000000"/>
                <w:kern w:val="0"/>
                <w:lang w:eastAsia="en-GB"/>
                <w14:ligatures w14:val="none"/>
              </w:rPr>
            </w:pPr>
          </w:p>
        </w:tc>
      </w:tr>
      <w:tr w:rsidR="00686F3A" w:rsidRPr="00BB79FA" w14:paraId="200C62CC" w14:textId="77777777" w:rsidTr="005E746E">
        <w:trPr>
          <w:trHeight w:val="276"/>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179175CE" w14:textId="777777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167</w:t>
            </w:r>
          </w:p>
        </w:tc>
        <w:tc>
          <w:tcPr>
            <w:tcW w:w="7655" w:type="dxa"/>
            <w:tcBorders>
              <w:top w:val="nil"/>
              <w:left w:val="nil"/>
              <w:bottom w:val="single" w:sz="4" w:space="0" w:color="auto"/>
              <w:right w:val="single" w:sz="4" w:space="0" w:color="auto"/>
            </w:tcBorders>
            <w:shd w:val="clear" w:color="auto" w:fill="FFFFFF" w:themeFill="background1"/>
            <w:noWrap/>
            <w:hideMark/>
          </w:tcPr>
          <w:p w14:paraId="427E6C65" w14:textId="77777777" w:rsidR="00686F3A" w:rsidRPr="00BB79FA" w:rsidRDefault="00686F3A" w:rsidP="088FD2F0">
            <w:pPr>
              <w:spacing w:after="0" w:line="240" w:lineRule="auto"/>
              <w:rPr>
                <w:rFonts w:ascii="Arial" w:eastAsia="Arial" w:hAnsi="Arial" w:cs="Arial"/>
                <w:i/>
                <w:color w:val="000000" w:themeColor="text1"/>
                <w:u w:val="single"/>
                <w:lang w:eastAsia="en-GB"/>
              </w:rPr>
            </w:pPr>
            <w:r w:rsidRPr="00BB79FA">
              <w:rPr>
                <w:rFonts w:ascii="Arial" w:eastAsia="Arial" w:hAnsi="Arial" w:cs="Arial"/>
                <w:i/>
                <w:color w:val="000000"/>
                <w:kern w:val="0"/>
                <w:u w:val="single"/>
                <w:lang w:eastAsia="en-GB"/>
                <w14:ligatures w14:val="none"/>
              </w:rPr>
              <w:t xml:space="preserve">      of which: assigned a RW of 105%</w:t>
            </w:r>
          </w:p>
          <w:p w14:paraId="5C3F3C1E" w14:textId="30F79667" w:rsidR="00686F3A" w:rsidRPr="00BB79FA" w:rsidRDefault="00686F3A" w:rsidP="088FD2F0">
            <w:pPr>
              <w:spacing w:after="0" w:line="240" w:lineRule="auto"/>
              <w:rPr>
                <w:rFonts w:ascii="Arial" w:eastAsia="Arial" w:hAnsi="Arial" w:cs="Arial"/>
                <w:i/>
                <w:color w:val="000000" w:themeColor="text1"/>
                <w:lang w:eastAsia="en-GB"/>
              </w:rPr>
            </w:pPr>
          </w:p>
          <w:p w14:paraId="5DB54C30" w14:textId="6D9FCC7B" w:rsidR="00686F3A" w:rsidRPr="00BB79FA" w:rsidRDefault="02C7700D"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Only exposures that are: </w:t>
            </w:r>
          </w:p>
          <w:p w14:paraId="7804232F" w14:textId="1B6334FE" w:rsidR="00686F3A" w:rsidRPr="00BB79FA" w:rsidRDefault="00686F3A" w:rsidP="088FD2F0">
            <w:pPr>
              <w:spacing w:after="0" w:line="240" w:lineRule="auto"/>
              <w:rPr>
                <w:rFonts w:ascii="Arial" w:eastAsia="Arial" w:hAnsi="Arial" w:cs="Arial"/>
                <w:i/>
                <w:color w:val="000000" w:themeColor="text1"/>
                <w:lang w:eastAsia="en-GB"/>
              </w:rPr>
            </w:pPr>
          </w:p>
          <w:p w14:paraId="6AD6E684" w14:textId="5CB912FC" w:rsidR="00686F3A" w:rsidRPr="00BB79FA" w:rsidRDefault="02C7700D" w:rsidP="00A23969">
            <w:pPr>
              <w:pStyle w:val="ListParagraph"/>
              <w:numPr>
                <w:ilvl w:val="0"/>
                <w:numId w:val="28"/>
              </w:num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classified as materially dependent on the cash</w:t>
            </w:r>
            <w:r w:rsidR="00256B22">
              <w:rPr>
                <w:rFonts w:ascii="Arial" w:eastAsia="Arial" w:hAnsi="Arial" w:cs="Arial"/>
                <w:i/>
                <w:color w:val="000000" w:themeColor="text1"/>
                <w:lang w:eastAsia="en-GB"/>
              </w:rPr>
              <w:t>-</w:t>
            </w:r>
            <w:r w:rsidRPr="00BB79FA">
              <w:rPr>
                <w:rFonts w:ascii="Arial" w:eastAsia="Arial" w:hAnsi="Arial" w:cs="Arial"/>
                <w:i/>
                <w:color w:val="000000" w:themeColor="text1"/>
                <w:lang w:eastAsia="en-GB"/>
              </w:rPr>
              <w:t>flows generated by the property under Article 124E of the Credit Risk: Standardised Approach (CRR) Part; and</w:t>
            </w:r>
          </w:p>
          <w:p w14:paraId="7CE6314C" w14:textId="78C1E331" w:rsidR="00686F3A" w:rsidRPr="00BB79FA" w:rsidRDefault="00686F3A" w:rsidP="088FD2F0">
            <w:pPr>
              <w:pStyle w:val="ListParagraph"/>
              <w:spacing w:after="0" w:line="240" w:lineRule="auto"/>
              <w:rPr>
                <w:rFonts w:ascii="Arial" w:eastAsia="Arial" w:hAnsi="Arial" w:cs="Arial"/>
                <w:i/>
                <w:color w:val="000000" w:themeColor="text1"/>
                <w:lang w:eastAsia="en-GB"/>
              </w:rPr>
            </w:pPr>
          </w:p>
          <w:p w14:paraId="6A7E034C" w14:textId="4786E1CB" w:rsidR="00686F3A" w:rsidRPr="00BB79FA" w:rsidRDefault="02C7700D" w:rsidP="00A23969">
            <w:pPr>
              <w:pStyle w:val="ListParagraph"/>
              <w:numPr>
                <w:ilvl w:val="0"/>
                <w:numId w:val="28"/>
              </w:num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assigned a risk weight of 105% in Table 6B </w:t>
            </w:r>
            <w:r w:rsidR="0046358B" w:rsidRPr="00BB79FA">
              <w:rPr>
                <w:rFonts w:ascii="Arial" w:eastAsia="Arial" w:hAnsi="Arial" w:cs="Arial"/>
                <w:i/>
                <w:color w:val="000000" w:themeColor="text1"/>
                <w:lang w:eastAsia="en-GB"/>
              </w:rPr>
              <w:t>under</w:t>
            </w:r>
            <w:r w:rsidRPr="00BB79FA">
              <w:rPr>
                <w:rFonts w:ascii="Arial" w:eastAsia="Arial" w:hAnsi="Arial" w:cs="Arial"/>
                <w:i/>
                <w:color w:val="000000" w:themeColor="text1"/>
                <w:lang w:eastAsia="en-GB"/>
              </w:rPr>
              <w:t xml:space="preserve"> Article 124G of the Credit Risk: Standardised Approach (CRR) Par</w:t>
            </w:r>
            <w:r w:rsidR="00512FCA" w:rsidRPr="00BB79FA">
              <w:rPr>
                <w:rFonts w:ascii="Arial" w:eastAsia="Arial" w:hAnsi="Arial" w:cs="Arial"/>
                <w:i/>
                <w:color w:val="000000" w:themeColor="text1"/>
                <w:lang w:eastAsia="en-GB"/>
              </w:rPr>
              <w:t>t</w:t>
            </w:r>
            <w:r w:rsidRPr="00BB79FA">
              <w:rPr>
                <w:rFonts w:ascii="Arial" w:eastAsia="Arial" w:hAnsi="Arial" w:cs="Arial"/>
                <w:i/>
                <w:color w:val="000000" w:themeColor="text1"/>
                <w:lang w:eastAsia="en-GB"/>
              </w:rPr>
              <w:t>,</w:t>
            </w:r>
          </w:p>
          <w:p w14:paraId="2AA1F912" w14:textId="70EA7D9C" w:rsidR="00686F3A" w:rsidRPr="00BB79FA" w:rsidRDefault="00686F3A" w:rsidP="088FD2F0">
            <w:pPr>
              <w:spacing w:after="0" w:line="240" w:lineRule="auto"/>
              <w:rPr>
                <w:rFonts w:ascii="Arial" w:eastAsia="Arial" w:hAnsi="Arial" w:cs="Arial"/>
                <w:i/>
                <w:color w:val="000000" w:themeColor="text1"/>
                <w:lang w:eastAsia="en-GB"/>
              </w:rPr>
            </w:pPr>
          </w:p>
          <w:p w14:paraId="0835CBA6" w14:textId="115B0480" w:rsidR="00686F3A" w:rsidRPr="00BB79FA" w:rsidRDefault="02C7700D"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shall be reported here.</w:t>
            </w:r>
          </w:p>
          <w:p w14:paraId="42610BBE" w14:textId="5F58A723" w:rsidR="00686F3A" w:rsidRPr="00BB79FA" w:rsidRDefault="00686F3A" w:rsidP="00686F3A">
            <w:pPr>
              <w:spacing w:after="0" w:line="240" w:lineRule="auto"/>
              <w:rPr>
                <w:rFonts w:ascii="Arial" w:eastAsia="Arial" w:hAnsi="Arial" w:cs="Arial"/>
                <w:i/>
                <w:color w:val="000000"/>
                <w:kern w:val="0"/>
                <w:lang w:eastAsia="en-GB"/>
                <w14:ligatures w14:val="none"/>
              </w:rPr>
            </w:pPr>
          </w:p>
        </w:tc>
      </w:tr>
      <w:tr w:rsidR="00686F3A" w:rsidRPr="00BB79FA" w14:paraId="54E54ABE" w14:textId="77777777" w:rsidTr="005E746E">
        <w:trPr>
          <w:trHeight w:val="276"/>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1636FFBB" w14:textId="777777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170</w:t>
            </w:r>
          </w:p>
        </w:tc>
        <w:tc>
          <w:tcPr>
            <w:tcW w:w="7655" w:type="dxa"/>
            <w:tcBorders>
              <w:top w:val="nil"/>
              <w:left w:val="nil"/>
              <w:bottom w:val="single" w:sz="4" w:space="0" w:color="auto"/>
              <w:right w:val="single" w:sz="4" w:space="0" w:color="auto"/>
            </w:tcBorders>
            <w:shd w:val="clear" w:color="auto" w:fill="FFFFFF" w:themeFill="background1"/>
            <w:noWrap/>
            <w:hideMark/>
          </w:tcPr>
          <w:p w14:paraId="6653EE84" w14:textId="1C99352D" w:rsidR="00686F3A" w:rsidRPr="00BB79FA" w:rsidRDefault="00686F3A" w:rsidP="088FD2F0">
            <w:pPr>
              <w:spacing w:after="0" w:line="240" w:lineRule="auto"/>
              <w:rPr>
                <w:rFonts w:ascii="Arial" w:eastAsia="Arial" w:hAnsi="Arial" w:cs="Arial"/>
                <w:b/>
                <w:i/>
                <w:color w:val="000000" w:themeColor="text1"/>
                <w:u w:val="single"/>
                <w:lang w:eastAsia="en-GB"/>
              </w:rPr>
            </w:pPr>
            <w:r w:rsidRPr="00BB79FA">
              <w:rPr>
                <w:rFonts w:ascii="Arial" w:eastAsia="Arial" w:hAnsi="Arial" w:cs="Arial"/>
                <w:b/>
                <w:i/>
                <w:color w:val="000000"/>
                <w:kern w:val="0"/>
                <w:u w:val="single"/>
                <w:lang w:eastAsia="en-GB"/>
                <w14:ligatures w14:val="none"/>
              </w:rPr>
              <w:t xml:space="preserve">   of which: regulatory RRE non-MDCFP exposures </w:t>
            </w:r>
            <w:r w:rsidR="6E348D3C" w:rsidRPr="00BB79FA">
              <w:rPr>
                <w:rFonts w:ascii="Arial" w:eastAsia="Arial" w:hAnsi="Arial" w:cs="Arial"/>
                <w:b/>
                <w:i/>
                <w:color w:val="000000"/>
                <w:kern w:val="0"/>
                <w:u w:val="single"/>
                <w:lang w:eastAsia="en-GB"/>
                <w14:ligatures w14:val="none"/>
              </w:rPr>
              <w:t>–</w:t>
            </w:r>
            <w:r w:rsidRPr="00BB79FA">
              <w:rPr>
                <w:rFonts w:ascii="Arial" w:eastAsia="Arial" w:hAnsi="Arial" w:cs="Arial"/>
                <w:b/>
                <w:i/>
                <w:color w:val="000000"/>
                <w:kern w:val="0"/>
                <w:u w:val="single"/>
                <w:lang w:eastAsia="en-GB"/>
                <w14:ligatures w14:val="none"/>
              </w:rPr>
              <w:t xml:space="preserve"> SMEs</w:t>
            </w:r>
          </w:p>
          <w:p w14:paraId="4EA63572" w14:textId="3B9F8280" w:rsidR="00686F3A" w:rsidRPr="00BB79FA" w:rsidRDefault="00686F3A" w:rsidP="088FD2F0">
            <w:pPr>
              <w:spacing w:after="0" w:line="240" w:lineRule="auto"/>
              <w:rPr>
                <w:rFonts w:ascii="Arial" w:eastAsia="Arial" w:hAnsi="Arial" w:cs="Arial"/>
                <w:b/>
                <w:i/>
                <w:color w:val="000000" w:themeColor="text1"/>
                <w:u w:val="single"/>
                <w:lang w:eastAsia="en-GB"/>
              </w:rPr>
            </w:pPr>
          </w:p>
          <w:p w14:paraId="27F3D99E" w14:textId="66F86075" w:rsidR="00686F3A" w:rsidRPr="00BB79FA" w:rsidRDefault="0FF50F4C"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Sub-total row of rows 171, 172, and 173.</w:t>
            </w:r>
          </w:p>
          <w:p w14:paraId="582701E6" w14:textId="0EDF4EF8" w:rsidR="00686F3A" w:rsidRPr="00BB79FA" w:rsidRDefault="00686F3A" w:rsidP="088FD2F0">
            <w:pPr>
              <w:spacing w:after="0" w:line="240" w:lineRule="auto"/>
              <w:rPr>
                <w:rFonts w:ascii="Arial" w:eastAsia="Arial" w:hAnsi="Arial" w:cs="Arial"/>
                <w:b/>
                <w:i/>
                <w:color w:val="000000" w:themeColor="text1"/>
                <w:lang w:eastAsia="en-GB"/>
              </w:rPr>
            </w:pPr>
          </w:p>
          <w:p w14:paraId="6A4C96C4" w14:textId="77777777" w:rsidR="004D3D29" w:rsidRPr="00BB79FA" w:rsidRDefault="004D3D29" w:rsidP="004D3D29">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This row will be calculated by a formula, firms do not need to report here.</w:t>
            </w:r>
          </w:p>
          <w:p w14:paraId="56FD77AF" w14:textId="16BBCC82" w:rsidR="00686F3A" w:rsidRPr="00BB79FA" w:rsidRDefault="00686F3A" w:rsidP="00686F3A">
            <w:pPr>
              <w:spacing w:after="0" w:line="240" w:lineRule="auto"/>
              <w:rPr>
                <w:rFonts w:ascii="Arial" w:eastAsia="Arial" w:hAnsi="Arial" w:cs="Arial"/>
                <w:b/>
                <w:i/>
                <w:color w:val="000000"/>
                <w:kern w:val="0"/>
                <w:lang w:eastAsia="en-GB"/>
                <w14:ligatures w14:val="none"/>
              </w:rPr>
            </w:pPr>
          </w:p>
        </w:tc>
      </w:tr>
      <w:tr w:rsidR="00686F3A" w:rsidRPr="00BB79FA" w14:paraId="1BAD39BD" w14:textId="77777777" w:rsidTr="005E746E">
        <w:trPr>
          <w:trHeight w:val="276"/>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7B713083" w14:textId="777777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lastRenderedPageBreak/>
              <w:t>171</w:t>
            </w:r>
          </w:p>
        </w:tc>
        <w:tc>
          <w:tcPr>
            <w:tcW w:w="7655" w:type="dxa"/>
            <w:tcBorders>
              <w:top w:val="nil"/>
              <w:left w:val="nil"/>
              <w:bottom w:val="single" w:sz="4" w:space="0" w:color="auto"/>
              <w:right w:val="single" w:sz="4" w:space="0" w:color="auto"/>
            </w:tcBorders>
            <w:shd w:val="clear" w:color="auto" w:fill="FFFFFF" w:themeFill="background1"/>
            <w:noWrap/>
            <w:hideMark/>
          </w:tcPr>
          <w:p w14:paraId="0A60312D" w14:textId="77777777" w:rsidR="00686F3A" w:rsidRPr="00BB79FA" w:rsidRDefault="00686F3A" w:rsidP="088FD2F0">
            <w:pPr>
              <w:spacing w:after="0" w:line="240" w:lineRule="auto"/>
              <w:rPr>
                <w:rFonts w:ascii="Arial" w:eastAsia="Arial" w:hAnsi="Arial" w:cs="Arial"/>
                <w:i/>
                <w:color w:val="000000" w:themeColor="text1"/>
                <w:u w:val="single"/>
                <w:lang w:eastAsia="en-GB"/>
              </w:rPr>
            </w:pPr>
            <w:r w:rsidRPr="00BB79FA">
              <w:rPr>
                <w:rFonts w:ascii="Arial" w:eastAsia="Arial" w:hAnsi="Arial" w:cs="Arial"/>
                <w:i/>
                <w:color w:val="000000"/>
                <w:kern w:val="0"/>
                <w:u w:val="single"/>
                <w:lang w:eastAsia="en-GB"/>
                <w14:ligatures w14:val="none"/>
              </w:rPr>
              <w:t xml:space="preserve">      of which: part of the exposure assigned a RW of 20% </w:t>
            </w:r>
          </w:p>
          <w:p w14:paraId="7B3A7EC5" w14:textId="5A961F81" w:rsidR="00686F3A" w:rsidRPr="00BB79FA" w:rsidRDefault="00686F3A" w:rsidP="088FD2F0">
            <w:pPr>
              <w:spacing w:after="0" w:line="240" w:lineRule="auto"/>
              <w:rPr>
                <w:rFonts w:ascii="Arial" w:eastAsia="Arial" w:hAnsi="Arial" w:cs="Arial"/>
                <w:i/>
                <w:color w:val="000000" w:themeColor="text1"/>
                <w:lang w:eastAsia="en-GB"/>
              </w:rPr>
            </w:pPr>
          </w:p>
          <w:p w14:paraId="67553600" w14:textId="23DCCC33" w:rsidR="00686F3A" w:rsidRPr="00BB79FA" w:rsidRDefault="20364F8E"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Only </w:t>
            </w:r>
            <w:r w:rsidR="00324F00">
              <w:rPr>
                <w:rFonts w:ascii="Arial" w:eastAsia="Arial" w:hAnsi="Arial" w:cs="Arial"/>
                <w:i/>
                <w:color w:val="000000" w:themeColor="text1"/>
                <w:lang w:eastAsia="en-GB"/>
              </w:rPr>
              <w:t xml:space="preserve">the </w:t>
            </w:r>
            <w:r w:rsidRPr="00BB79FA">
              <w:rPr>
                <w:rFonts w:ascii="Arial" w:eastAsia="Arial" w:hAnsi="Arial" w:cs="Arial"/>
                <w:i/>
                <w:color w:val="000000" w:themeColor="text1"/>
                <w:lang w:eastAsia="en-GB"/>
              </w:rPr>
              <w:t>part of the exposure assigned a risk weight of 20% under Article 124F(1)(a) of the Credit Risk: Standardised Approach (CRR) Part, and where the exposures are</w:t>
            </w:r>
            <w:r w:rsidR="00210007" w:rsidRPr="00BB79FA">
              <w:rPr>
                <w:rFonts w:ascii="Arial" w:eastAsia="Arial" w:hAnsi="Arial" w:cs="Arial"/>
                <w:i/>
                <w:color w:val="000000" w:themeColor="text1"/>
                <w:lang w:eastAsia="en-GB"/>
              </w:rPr>
              <w:t xml:space="preserve"> </w:t>
            </w:r>
            <w:r w:rsidRPr="00BB79FA">
              <w:rPr>
                <w:rFonts w:ascii="Arial" w:eastAsia="Arial" w:hAnsi="Arial" w:cs="Arial"/>
                <w:i/>
                <w:color w:val="000000" w:themeColor="text1"/>
                <w:lang w:eastAsia="en-GB"/>
              </w:rPr>
              <w:t>not classified as materially dependent on the cash</w:t>
            </w:r>
            <w:r w:rsidR="00256B22">
              <w:rPr>
                <w:rFonts w:ascii="Arial" w:eastAsia="Arial" w:hAnsi="Arial" w:cs="Arial"/>
                <w:i/>
                <w:color w:val="000000" w:themeColor="text1"/>
                <w:lang w:eastAsia="en-GB"/>
              </w:rPr>
              <w:t>-</w:t>
            </w:r>
            <w:r w:rsidRPr="00BB79FA">
              <w:rPr>
                <w:rFonts w:ascii="Arial" w:eastAsia="Arial" w:hAnsi="Arial" w:cs="Arial"/>
                <w:i/>
                <w:color w:val="000000" w:themeColor="text1"/>
                <w:lang w:eastAsia="en-GB"/>
              </w:rPr>
              <w:t>flows generated by the property under Article 124E of the Credit Risk: Standardised Approach (CRR) Part,</w:t>
            </w:r>
            <w:r w:rsidR="00210007" w:rsidRPr="00BB79FA">
              <w:rPr>
                <w:rFonts w:ascii="Arial" w:eastAsia="Arial" w:hAnsi="Arial" w:cs="Arial"/>
                <w:i/>
                <w:color w:val="000000" w:themeColor="text1"/>
                <w:lang w:eastAsia="en-GB"/>
              </w:rPr>
              <w:t xml:space="preserve"> s</w:t>
            </w:r>
            <w:r w:rsidRPr="00BB79FA">
              <w:rPr>
                <w:rFonts w:ascii="Arial" w:eastAsia="Arial" w:hAnsi="Arial" w:cs="Arial"/>
                <w:i/>
                <w:color w:val="000000" w:themeColor="text1"/>
                <w:lang w:eastAsia="en-GB"/>
              </w:rPr>
              <w:t>hall be reported here.</w:t>
            </w:r>
          </w:p>
          <w:p w14:paraId="405F1B75" w14:textId="472851B4" w:rsidR="00686F3A" w:rsidRPr="00BB79FA" w:rsidRDefault="00686F3A" w:rsidP="00686F3A">
            <w:pPr>
              <w:spacing w:after="0" w:line="240" w:lineRule="auto"/>
              <w:rPr>
                <w:rFonts w:ascii="Arial" w:eastAsia="Arial" w:hAnsi="Arial" w:cs="Arial"/>
                <w:i/>
                <w:color w:val="000000"/>
                <w:kern w:val="0"/>
                <w:lang w:eastAsia="en-GB"/>
                <w14:ligatures w14:val="none"/>
              </w:rPr>
            </w:pPr>
          </w:p>
        </w:tc>
      </w:tr>
      <w:tr w:rsidR="00686F3A" w:rsidRPr="00BB79FA" w14:paraId="6C070907" w14:textId="77777777" w:rsidTr="005E746E">
        <w:trPr>
          <w:trHeight w:val="276"/>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5F8CC028" w14:textId="777777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172</w:t>
            </w:r>
          </w:p>
        </w:tc>
        <w:tc>
          <w:tcPr>
            <w:tcW w:w="7655" w:type="dxa"/>
            <w:tcBorders>
              <w:top w:val="nil"/>
              <w:left w:val="nil"/>
              <w:bottom w:val="single" w:sz="4" w:space="0" w:color="auto"/>
              <w:right w:val="single" w:sz="4" w:space="0" w:color="auto"/>
            </w:tcBorders>
            <w:shd w:val="clear" w:color="auto" w:fill="FFFFFF" w:themeFill="background1"/>
            <w:noWrap/>
            <w:hideMark/>
          </w:tcPr>
          <w:p w14:paraId="14B4B01A" w14:textId="77777777" w:rsidR="00686F3A" w:rsidRPr="00BB79FA" w:rsidRDefault="00686F3A" w:rsidP="088FD2F0">
            <w:pPr>
              <w:spacing w:after="0" w:line="240" w:lineRule="auto"/>
              <w:rPr>
                <w:rFonts w:ascii="Arial" w:eastAsia="Arial" w:hAnsi="Arial" w:cs="Arial"/>
                <w:i/>
                <w:color w:val="000000" w:themeColor="text1"/>
                <w:u w:val="single"/>
                <w:lang w:eastAsia="en-GB"/>
              </w:rPr>
            </w:pPr>
            <w:r w:rsidRPr="00BB79FA">
              <w:rPr>
                <w:rFonts w:ascii="Arial" w:eastAsia="Arial" w:hAnsi="Arial" w:cs="Arial"/>
                <w:i/>
                <w:color w:val="000000"/>
                <w:kern w:val="0"/>
                <w:u w:val="single"/>
                <w:lang w:eastAsia="en-GB"/>
                <w14:ligatures w14:val="none"/>
              </w:rPr>
              <w:t xml:space="preserve">      of which: part of the exposure assigned a RW of 75% </w:t>
            </w:r>
          </w:p>
          <w:p w14:paraId="7F3581A9" w14:textId="5C741024" w:rsidR="00686F3A" w:rsidRPr="00BB79FA" w:rsidRDefault="00686F3A" w:rsidP="088FD2F0">
            <w:pPr>
              <w:spacing w:after="0" w:line="240" w:lineRule="auto"/>
              <w:rPr>
                <w:rFonts w:ascii="Arial" w:eastAsia="Arial" w:hAnsi="Arial" w:cs="Arial"/>
                <w:i/>
                <w:color w:val="000000" w:themeColor="text1"/>
                <w:lang w:eastAsia="en-GB"/>
              </w:rPr>
            </w:pPr>
          </w:p>
          <w:p w14:paraId="1BC88072" w14:textId="6A6D1E59" w:rsidR="00686F3A" w:rsidRPr="00BB79FA" w:rsidRDefault="626BE3C6"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Only</w:t>
            </w:r>
            <w:r w:rsidR="00324F00">
              <w:rPr>
                <w:rFonts w:ascii="Arial" w:eastAsia="Arial" w:hAnsi="Arial" w:cs="Arial"/>
                <w:i/>
                <w:color w:val="000000" w:themeColor="text1"/>
                <w:lang w:eastAsia="en-GB"/>
              </w:rPr>
              <w:t xml:space="preserve"> the</w:t>
            </w:r>
            <w:r w:rsidRPr="00BB79FA">
              <w:rPr>
                <w:rFonts w:ascii="Arial" w:eastAsia="Arial" w:hAnsi="Arial" w:cs="Arial"/>
                <w:i/>
                <w:color w:val="000000" w:themeColor="text1"/>
                <w:lang w:eastAsia="en-GB"/>
              </w:rPr>
              <w:t xml:space="preserve"> part of the exposure assigned a risk weight of 75% under Article 124</w:t>
            </w:r>
            <w:r w:rsidR="09E67178" w:rsidRPr="00BB79FA">
              <w:rPr>
                <w:rFonts w:ascii="Arial" w:eastAsia="Arial" w:hAnsi="Arial" w:cs="Arial"/>
                <w:i/>
                <w:color w:val="000000" w:themeColor="text1"/>
                <w:lang w:eastAsia="en-GB"/>
              </w:rPr>
              <w:t>F(</w:t>
            </w:r>
            <w:r w:rsidRPr="00BB79FA">
              <w:rPr>
                <w:rFonts w:ascii="Arial" w:eastAsia="Arial" w:hAnsi="Arial" w:cs="Arial"/>
                <w:i/>
                <w:color w:val="000000" w:themeColor="text1"/>
                <w:lang w:eastAsia="en-GB"/>
              </w:rPr>
              <w:t xml:space="preserve">1)(b) of the Credit Risk: Standardised Approach (CRR) Part (due </w:t>
            </w:r>
            <w:r w:rsidR="003138C2" w:rsidRPr="00BB79FA">
              <w:rPr>
                <w:rFonts w:ascii="Arial" w:eastAsia="Arial" w:hAnsi="Arial" w:cs="Arial"/>
                <w:i/>
                <w:color w:val="000000" w:themeColor="text1"/>
                <w:lang w:eastAsia="en-GB"/>
              </w:rPr>
              <w:t>eith</w:t>
            </w:r>
            <w:r w:rsidR="00165874" w:rsidRPr="00BB79FA">
              <w:rPr>
                <w:rFonts w:ascii="Arial" w:eastAsia="Arial" w:hAnsi="Arial" w:cs="Arial"/>
                <w:i/>
                <w:color w:val="000000" w:themeColor="text1"/>
                <w:lang w:eastAsia="en-GB"/>
              </w:rPr>
              <w:t>er</w:t>
            </w:r>
            <w:r w:rsidR="003138C2" w:rsidRPr="00BB79FA">
              <w:rPr>
                <w:rFonts w:ascii="Arial" w:eastAsia="Arial" w:hAnsi="Arial" w:cs="Arial"/>
                <w:i/>
                <w:color w:val="000000" w:themeColor="text1"/>
                <w:lang w:eastAsia="en-GB"/>
              </w:rPr>
              <w:t xml:space="preserve"> paragraph</w:t>
            </w:r>
            <w:r w:rsidR="00C44C8D" w:rsidRPr="00BB79FA">
              <w:rPr>
                <w:rFonts w:ascii="Arial" w:eastAsia="Arial" w:hAnsi="Arial" w:cs="Arial"/>
                <w:i/>
                <w:color w:val="000000" w:themeColor="text1"/>
                <w:lang w:eastAsia="en-GB"/>
              </w:rPr>
              <w:t xml:space="preserve"> (1)(b) or (1)</w:t>
            </w:r>
            <w:r w:rsidR="00336064" w:rsidRPr="00BB79FA">
              <w:rPr>
                <w:rFonts w:ascii="Arial" w:eastAsia="Arial" w:hAnsi="Arial" w:cs="Arial"/>
                <w:i/>
                <w:color w:val="000000" w:themeColor="text1"/>
                <w:lang w:eastAsia="en-GB"/>
              </w:rPr>
              <w:t xml:space="preserve">(d) of </w:t>
            </w:r>
            <w:r w:rsidRPr="00BB79FA">
              <w:rPr>
                <w:rFonts w:ascii="Arial" w:eastAsia="Arial" w:hAnsi="Arial" w:cs="Arial"/>
                <w:i/>
                <w:color w:val="000000" w:themeColor="text1"/>
                <w:lang w:eastAsia="en-GB"/>
              </w:rPr>
              <w:t>Article 124L of the Credit Risk: Standardised Approach (CRR) Part), and where the exposures are</w:t>
            </w:r>
            <w:r w:rsidR="004D5141" w:rsidRPr="00BB79FA">
              <w:rPr>
                <w:rFonts w:ascii="Arial" w:eastAsia="Arial" w:hAnsi="Arial" w:cs="Arial"/>
                <w:i/>
                <w:color w:val="000000" w:themeColor="text1"/>
                <w:lang w:eastAsia="en-GB"/>
              </w:rPr>
              <w:t xml:space="preserve"> n</w:t>
            </w:r>
            <w:r w:rsidRPr="00BB79FA">
              <w:rPr>
                <w:rFonts w:ascii="Arial" w:eastAsia="Arial" w:hAnsi="Arial" w:cs="Arial"/>
                <w:i/>
                <w:color w:val="000000" w:themeColor="text1"/>
                <w:lang w:eastAsia="en-GB"/>
              </w:rPr>
              <w:t>ot classified as materially dependent on the cash</w:t>
            </w:r>
            <w:r w:rsidR="00256B22">
              <w:rPr>
                <w:rFonts w:ascii="Arial" w:eastAsia="Arial" w:hAnsi="Arial" w:cs="Arial"/>
                <w:i/>
                <w:color w:val="000000" w:themeColor="text1"/>
                <w:lang w:eastAsia="en-GB"/>
              </w:rPr>
              <w:t>-</w:t>
            </w:r>
            <w:r w:rsidRPr="00BB79FA">
              <w:rPr>
                <w:rFonts w:ascii="Arial" w:eastAsia="Arial" w:hAnsi="Arial" w:cs="Arial"/>
                <w:i/>
                <w:color w:val="000000" w:themeColor="text1"/>
                <w:lang w:eastAsia="en-GB"/>
              </w:rPr>
              <w:t>flows generated by the property under Article 124E of the Credit Risk: Standardised Approach (CRR) Part</w:t>
            </w:r>
            <w:r w:rsidR="5A424688" w:rsidRPr="00BB79FA">
              <w:rPr>
                <w:rFonts w:ascii="Arial" w:eastAsia="Arial" w:hAnsi="Arial" w:cs="Arial"/>
                <w:i/>
                <w:color w:val="000000" w:themeColor="text1"/>
                <w:lang w:eastAsia="en-GB"/>
              </w:rPr>
              <w:t xml:space="preserve"> </w:t>
            </w:r>
            <w:r w:rsidRPr="00BB79FA">
              <w:rPr>
                <w:rFonts w:ascii="Arial" w:eastAsia="Arial" w:hAnsi="Arial" w:cs="Arial"/>
                <w:i/>
                <w:color w:val="000000" w:themeColor="text1"/>
                <w:lang w:eastAsia="en-GB"/>
              </w:rPr>
              <w:t>shall be reported here.</w:t>
            </w:r>
          </w:p>
          <w:p w14:paraId="35B496B9" w14:textId="18EDAF95" w:rsidR="00686F3A" w:rsidRPr="00BB79FA" w:rsidRDefault="00686F3A" w:rsidP="00686F3A">
            <w:pPr>
              <w:spacing w:after="0" w:line="240" w:lineRule="auto"/>
              <w:rPr>
                <w:rFonts w:ascii="Arial" w:eastAsia="Arial" w:hAnsi="Arial" w:cs="Arial"/>
                <w:i/>
                <w:color w:val="000000"/>
                <w:kern w:val="0"/>
                <w:lang w:eastAsia="en-GB"/>
                <w14:ligatures w14:val="none"/>
              </w:rPr>
            </w:pPr>
          </w:p>
        </w:tc>
      </w:tr>
      <w:tr w:rsidR="00686F3A" w:rsidRPr="00BB79FA" w14:paraId="33A34B03" w14:textId="77777777" w:rsidTr="005E746E">
        <w:trPr>
          <w:trHeight w:val="276"/>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64F238DE" w14:textId="777777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173</w:t>
            </w:r>
          </w:p>
        </w:tc>
        <w:tc>
          <w:tcPr>
            <w:tcW w:w="7655" w:type="dxa"/>
            <w:tcBorders>
              <w:top w:val="nil"/>
              <w:left w:val="nil"/>
              <w:bottom w:val="single" w:sz="4" w:space="0" w:color="auto"/>
              <w:right w:val="single" w:sz="4" w:space="0" w:color="auto"/>
            </w:tcBorders>
            <w:shd w:val="clear" w:color="auto" w:fill="FFFFFF" w:themeFill="background1"/>
            <w:noWrap/>
            <w:hideMark/>
          </w:tcPr>
          <w:p w14:paraId="1CCE8585" w14:textId="77777777" w:rsidR="00686F3A" w:rsidRPr="00BB79FA" w:rsidRDefault="00686F3A" w:rsidP="088FD2F0">
            <w:pPr>
              <w:spacing w:after="0" w:line="240" w:lineRule="auto"/>
              <w:rPr>
                <w:rFonts w:ascii="Arial" w:eastAsia="Arial" w:hAnsi="Arial" w:cs="Arial"/>
                <w:i/>
                <w:color w:val="000000" w:themeColor="text1"/>
                <w:u w:val="single"/>
                <w:lang w:eastAsia="en-GB"/>
              </w:rPr>
            </w:pPr>
            <w:r w:rsidRPr="00BB79FA">
              <w:rPr>
                <w:rFonts w:ascii="Arial" w:eastAsia="Arial" w:hAnsi="Arial" w:cs="Arial"/>
                <w:i/>
                <w:color w:val="000000"/>
                <w:kern w:val="0"/>
                <w:u w:val="single"/>
                <w:lang w:eastAsia="en-GB"/>
                <w14:ligatures w14:val="none"/>
              </w:rPr>
              <w:t xml:space="preserve">      of which: part of the exposure assigned a RW of 85% </w:t>
            </w:r>
          </w:p>
          <w:p w14:paraId="0C01DFA6" w14:textId="318D6A11" w:rsidR="00686F3A" w:rsidRPr="00BB79FA" w:rsidRDefault="00686F3A" w:rsidP="088FD2F0">
            <w:pPr>
              <w:spacing w:after="0" w:line="240" w:lineRule="auto"/>
              <w:rPr>
                <w:rFonts w:ascii="Arial" w:eastAsia="Arial" w:hAnsi="Arial" w:cs="Arial"/>
                <w:i/>
                <w:color w:val="000000" w:themeColor="text1"/>
                <w:lang w:eastAsia="en-GB"/>
              </w:rPr>
            </w:pPr>
          </w:p>
          <w:p w14:paraId="739E11EF" w14:textId="49F4E4AC" w:rsidR="00686F3A" w:rsidRPr="00BB79FA" w:rsidRDefault="1FF993C1"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Only </w:t>
            </w:r>
            <w:r w:rsidR="00324F00">
              <w:rPr>
                <w:rFonts w:ascii="Arial" w:eastAsia="Arial" w:hAnsi="Arial" w:cs="Arial"/>
                <w:i/>
                <w:color w:val="000000" w:themeColor="text1"/>
                <w:lang w:eastAsia="en-GB"/>
              </w:rPr>
              <w:t xml:space="preserve">the </w:t>
            </w:r>
            <w:r w:rsidRPr="00BB79FA">
              <w:rPr>
                <w:rFonts w:ascii="Arial" w:eastAsia="Arial" w:hAnsi="Arial" w:cs="Arial"/>
                <w:i/>
                <w:color w:val="000000" w:themeColor="text1"/>
                <w:lang w:eastAsia="en-GB"/>
              </w:rPr>
              <w:t>part of the exposure assigned a risk weight of 85% under Article 124</w:t>
            </w:r>
            <w:r w:rsidR="34DB65EE" w:rsidRPr="00BB79FA">
              <w:rPr>
                <w:rFonts w:ascii="Arial" w:eastAsia="Arial" w:hAnsi="Arial" w:cs="Arial"/>
                <w:i/>
                <w:color w:val="000000" w:themeColor="text1"/>
                <w:lang w:eastAsia="en-GB"/>
              </w:rPr>
              <w:t>F(</w:t>
            </w:r>
            <w:r w:rsidRPr="00BB79FA">
              <w:rPr>
                <w:rFonts w:ascii="Arial" w:eastAsia="Arial" w:hAnsi="Arial" w:cs="Arial"/>
                <w:i/>
                <w:color w:val="000000" w:themeColor="text1"/>
                <w:lang w:eastAsia="en-GB"/>
              </w:rPr>
              <w:t>1)(b) of the Credit Risk: Standardised Approach (CRR) Part (due</w:t>
            </w:r>
            <w:r w:rsidR="00165874" w:rsidRPr="00BB79FA">
              <w:rPr>
                <w:rFonts w:ascii="Arial" w:eastAsia="Arial" w:hAnsi="Arial" w:cs="Arial"/>
                <w:i/>
                <w:color w:val="000000" w:themeColor="text1"/>
                <w:lang w:eastAsia="en-GB"/>
              </w:rPr>
              <w:t xml:space="preserve"> either</w:t>
            </w:r>
            <w:r w:rsidR="00EC1B52" w:rsidRPr="00BB79FA">
              <w:rPr>
                <w:rFonts w:ascii="Arial" w:eastAsia="Arial" w:hAnsi="Arial" w:cs="Arial"/>
                <w:i/>
                <w:color w:val="000000" w:themeColor="text1"/>
                <w:lang w:eastAsia="en-GB"/>
              </w:rPr>
              <w:t xml:space="preserve"> paragraph (1)(c) or (1)(d)</w:t>
            </w:r>
            <w:r w:rsidRPr="00BB79FA">
              <w:rPr>
                <w:rFonts w:ascii="Arial" w:eastAsia="Arial" w:hAnsi="Arial" w:cs="Arial"/>
                <w:i/>
                <w:color w:val="000000" w:themeColor="text1"/>
                <w:lang w:eastAsia="en-GB"/>
              </w:rPr>
              <w:t xml:space="preserve"> </w:t>
            </w:r>
            <w:r w:rsidR="00B325AC" w:rsidRPr="00BB79FA">
              <w:rPr>
                <w:rFonts w:ascii="Arial" w:eastAsia="Arial" w:hAnsi="Arial" w:cs="Arial"/>
                <w:i/>
                <w:color w:val="000000" w:themeColor="text1"/>
                <w:lang w:eastAsia="en-GB"/>
              </w:rPr>
              <w:t>of</w:t>
            </w:r>
            <w:r w:rsidRPr="00BB79FA">
              <w:rPr>
                <w:rFonts w:ascii="Arial" w:eastAsia="Arial" w:hAnsi="Arial" w:cs="Arial"/>
                <w:i/>
                <w:color w:val="000000" w:themeColor="text1"/>
                <w:lang w:eastAsia="en-GB"/>
              </w:rPr>
              <w:t xml:space="preserve"> Article 124L of the Credit Risk: Standardised Approach (CRR) Part), and where the exposures are</w:t>
            </w:r>
            <w:r w:rsidR="004D5141" w:rsidRPr="00BB79FA">
              <w:rPr>
                <w:rFonts w:ascii="Arial" w:eastAsia="Arial" w:hAnsi="Arial" w:cs="Arial"/>
                <w:i/>
                <w:color w:val="000000" w:themeColor="text1"/>
                <w:lang w:eastAsia="en-GB"/>
              </w:rPr>
              <w:t xml:space="preserve"> </w:t>
            </w:r>
            <w:r w:rsidRPr="00BB79FA">
              <w:rPr>
                <w:rFonts w:ascii="Arial" w:eastAsia="Arial" w:hAnsi="Arial" w:cs="Arial"/>
                <w:i/>
                <w:color w:val="000000" w:themeColor="text1"/>
                <w:lang w:eastAsia="en-GB"/>
              </w:rPr>
              <w:t>not classified as materially dependent on the cash</w:t>
            </w:r>
            <w:r w:rsidR="00256B22">
              <w:rPr>
                <w:rFonts w:ascii="Arial" w:eastAsia="Arial" w:hAnsi="Arial" w:cs="Arial"/>
                <w:i/>
                <w:color w:val="000000" w:themeColor="text1"/>
                <w:lang w:eastAsia="en-GB"/>
              </w:rPr>
              <w:t>-</w:t>
            </w:r>
            <w:r w:rsidRPr="00BB79FA">
              <w:rPr>
                <w:rFonts w:ascii="Arial" w:eastAsia="Arial" w:hAnsi="Arial" w:cs="Arial"/>
                <w:i/>
                <w:color w:val="000000" w:themeColor="text1"/>
                <w:lang w:eastAsia="en-GB"/>
              </w:rPr>
              <w:t>flows generated by the property under Article 124E of the Credit Risk: Standardised Approach (CRR) Part,</w:t>
            </w:r>
            <w:r w:rsidR="004D5141" w:rsidRPr="00BB79FA">
              <w:rPr>
                <w:rFonts w:ascii="Arial" w:eastAsia="Arial" w:hAnsi="Arial" w:cs="Arial"/>
                <w:i/>
                <w:color w:val="000000" w:themeColor="text1"/>
                <w:lang w:eastAsia="en-GB"/>
              </w:rPr>
              <w:t xml:space="preserve"> </w:t>
            </w:r>
            <w:r w:rsidRPr="00BB79FA">
              <w:rPr>
                <w:rFonts w:ascii="Arial" w:eastAsia="Arial" w:hAnsi="Arial" w:cs="Arial"/>
                <w:i/>
                <w:color w:val="000000" w:themeColor="text1"/>
                <w:lang w:eastAsia="en-GB"/>
              </w:rPr>
              <w:t>shall be reported here.</w:t>
            </w:r>
          </w:p>
          <w:p w14:paraId="3B7C8912" w14:textId="78058661" w:rsidR="00686F3A" w:rsidRPr="00BB79FA" w:rsidRDefault="00686F3A" w:rsidP="00686F3A">
            <w:pPr>
              <w:spacing w:after="0" w:line="240" w:lineRule="auto"/>
              <w:rPr>
                <w:rFonts w:ascii="Arial" w:eastAsia="Arial" w:hAnsi="Arial" w:cs="Arial"/>
                <w:i/>
                <w:color w:val="000000"/>
                <w:kern w:val="0"/>
                <w:lang w:eastAsia="en-GB"/>
                <w14:ligatures w14:val="none"/>
              </w:rPr>
            </w:pPr>
          </w:p>
        </w:tc>
      </w:tr>
      <w:tr w:rsidR="00686F3A" w:rsidRPr="00BB79FA" w14:paraId="768DF942" w14:textId="77777777" w:rsidTr="005E746E">
        <w:trPr>
          <w:trHeight w:val="276"/>
        </w:trPr>
        <w:tc>
          <w:tcPr>
            <w:tcW w:w="750" w:type="dxa"/>
            <w:tcBorders>
              <w:top w:val="nil"/>
              <w:left w:val="single" w:sz="4" w:space="0" w:color="auto"/>
              <w:bottom w:val="single" w:sz="4" w:space="0" w:color="auto"/>
              <w:right w:val="single" w:sz="4" w:space="0" w:color="auto"/>
            </w:tcBorders>
            <w:noWrap/>
            <w:hideMark/>
          </w:tcPr>
          <w:p w14:paraId="1A8172E8" w14:textId="777777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180</w:t>
            </w:r>
          </w:p>
        </w:tc>
        <w:tc>
          <w:tcPr>
            <w:tcW w:w="7655" w:type="dxa"/>
            <w:tcBorders>
              <w:top w:val="nil"/>
              <w:left w:val="nil"/>
              <w:bottom w:val="single" w:sz="4" w:space="0" w:color="auto"/>
              <w:right w:val="single" w:sz="4" w:space="0" w:color="auto"/>
            </w:tcBorders>
            <w:shd w:val="clear" w:color="auto" w:fill="FFFFFF" w:themeFill="background1"/>
            <w:noWrap/>
            <w:hideMark/>
          </w:tcPr>
          <w:p w14:paraId="0F071680" w14:textId="5523DD2E" w:rsidR="00686F3A" w:rsidRPr="00BB79FA" w:rsidRDefault="00686F3A" w:rsidP="088FD2F0">
            <w:pPr>
              <w:spacing w:after="0" w:line="240" w:lineRule="auto"/>
              <w:rPr>
                <w:rFonts w:ascii="Arial" w:eastAsia="Arial" w:hAnsi="Arial" w:cs="Arial"/>
                <w:b/>
                <w:i/>
                <w:color w:val="000000" w:themeColor="text1"/>
                <w:u w:val="single"/>
                <w:lang w:eastAsia="en-GB"/>
              </w:rPr>
            </w:pPr>
            <w:r w:rsidRPr="00BB79FA">
              <w:rPr>
                <w:rFonts w:ascii="Arial" w:eastAsia="Arial" w:hAnsi="Arial" w:cs="Arial"/>
                <w:b/>
                <w:i/>
                <w:color w:val="000000"/>
                <w:kern w:val="0"/>
                <w:u w:val="single"/>
                <w:lang w:eastAsia="en-GB"/>
                <w14:ligatures w14:val="none"/>
              </w:rPr>
              <w:t xml:space="preserve">   of which: other CRE MDCFP exposures </w:t>
            </w:r>
            <w:r w:rsidR="18D4F46B" w:rsidRPr="00BB79FA">
              <w:rPr>
                <w:rFonts w:ascii="Arial" w:eastAsia="Arial" w:hAnsi="Arial" w:cs="Arial"/>
                <w:b/>
                <w:i/>
                <w:color w:val="000000"/>
                <w:kern w:val="0"/>
                <w:u w:val="single"/>
                <w:lang w:eastAsia="en-GB"/>
                <w14:ligatures w14:val="none"/>
              </w:rPr>
              <w:t>–</w:t>
            </w:r>
            <w:r w:rsidRPr="00BB79FA">
              <w:rPr>
                <w:rFonts w:ascii="Arial" w:eastAsia="Arial" w:hAnsi="Arial" w:cs="Arial"/>
                <w:b/>
                <w:i/>
                <w:color w:val="000000"/>
                <w:kern w:val="0"/>
                <w:u w:val="single"/>
                <w:lang w:eastAsia="en-GB"/>
                <w14:ligatures w14:val="none"/>
              </w:rPr>
              <w:t xml:space="preserve"> SMEs</w:t>
            </w:r>
          </w:p>
          <w:p w14:paraId="1BEC4113" w14:textId="74A0588E" w:rsidR="00686F3A" w:rsidRPr="00BB79FA" w:rsidRDefault="00686F3A" w:rsidP="088FD2F0">
            <w:pPr>
              <w:spacing w:after="0" w:line="240" w:lineRule="auto"/>
              <w:rPr>
                <w:rFonts w:ascii="Arial" w:eastAsia="Arial" w:hAnsi="Arial" w:cs="Arial"/>
                <w:b/>
                <w:i/>
                <w:color w:val="000000" w:themeColor="text1"/>
                <w:lang w:eastAsia="en-GB"/>
              </w:rPr>
            </w:pPr>
          </w:p>
          <w:p w14:paraId="3DA57B8D" w14:textId="697355DF" w:rsidR="00686F3A" w:rsidRPr="00BB79FA" w:rsidRDefault="5E12D84F"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Only </w:t>
            </w:r>
            <w:r w:rsidR="2A03039E" w:rsidRPr="00BB79FA">
              <w:rPr>
                <w:rFonts w:ascii="Arial" w:eastAsia="Arial" w:hAnsi="Arial" w:cs="Arial"/>
                <w:i/>
                <w:color w:val="000000" w:themeColor="text1"/>
                <w:lang w:eastAsia="en-GB"/>
              </w:rPr>
              <w:t xml:space="preserve">commercial real estate </w:t>
            </w:r>
            <w:r w:rsidRPr="00BB79FA">
              <w:rPr>
                <w:rFonts w:ascii="Arial" w:eastAsia="Arial" w:hAnsi="Arial" w:cs="Arial"/>
                <w:i/>
                <w:color w:val="000000" w:themeColor="text1"/>
                <w:lang w:eastAsia="en-GB"/>
              </w:rPr>
              <w:t>exposure</w:t>
            </w:r>
            <w:r w:rsidR="750F3EDF" w:rsidRPr="00BB79FA">
              <w:rPr>
                <w:rFonts w:ascii="Arial" w:eastAsia="Arial" w:hAnsi="Arial" w:cs="Arial"/>
                <w:i/>
                <w:color w:val="000000" w:themeColor="text1"/>
                <w:lang w:eastAsia="en-GB"/>
              </w:rPr>
              <w:t xml:space="preserve">s as defined under the Credit Risk: Standardised Approach (CRR) Part </w:t>
            </w:r>
            <w:r w:rsidRPr="00BB79FA">
              <w:rPr>
                <w:rFonts w:ascii="Arial" w:eastAsia="Arial" w:hAnsi="Arial" w:cs="Arial"/>
                <w:i/>
                <w:color w:val="000000" w:themeColor="text1"/>
                <w:lang w:eastAsia="en-GB"/>
              </w:rPr>
              <w:t xml:space="preserve">that are: </w:t>
            </w:r>
          </w:p>
          <w:p w14:paraId="7B55EBDD" w14:textId="1B6334FE" w:rsidR="00686F3A" w:rsidRPr="00BB79FA" w:rsidRDefault="00686F3A" w:rsidP="088FD2F0">
            <w:pPr>
              <w:spacing w:after="0" w:line="240" w:lineRule="auto"/>
              <w:rPr>
                <w:rFonts w:ascii="Arial" w:eastAsia="Arial" w:hAnsi="Arial" w:cs="Arial"/>
                <w:i/>
                <w:color w:val="000000" w:themeColor="text1"/>
                <w:lang w:eastAsia="en-GB"/>
              </w:rPr>
            </w:pPr>
          </w:p>
          <w:p w14:paraId="7FBAF583" w14:textId="0D5F6627" w:rsidR="00686F3A" w:rsidRPr="00BB79FA" w:rsidRDefault="5E12D84F" w:rsidP="00A23969">
            <w:pPr>
              <w:pStyle w:val="ListParagraph"/>
              <w:numPr>
                <w:ilvl w:val="0"/>
                <w:numId w:val="27"/>
              </w:num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classified as materially dependent on the cash</w:t>
            </w:r>
            <w:r w:rsidR="00256B22">
              <w:rPr>
                <w:rFonts w:ascii="Arial" w:eastAsia="Arial" w:hAnsi="Arial" w:cs="Arial"/>
                <w:i/>
                <w:color w:val="000000" w:themeColor="text1"/>
                <w:lang w:eastAsia="en-GB"/>
              </w:rPr>
              <w:t>-</w:t>
            </w:r>
            <w:r w:rsidRPr="00BB79FA">
              <w:rPr>
                <w:rFonts w:ascii="Arial" w:eastAsia="Arial" w:hAnsi="Arial" w:cs="Arial"/>
                <w:i/>
                <w:color w:val="000000" w:themeColor="text1"/>
                <w:lang w:eastAsia="en-GB"/>
              </w:rPr>
              <w:t>flows generated by the property under Article 124E of the Credit Risk: Standardised Approach (CRR) Part; and</w:t>
            </w:r>
          </w:p>
          <w:p w14:paraId="6CFA4FD2" w14:textId="78C1E331" w:rsidR="00686F3A" w:rsidRPr="00BB79FA" w:rsidRDefault="00686F3A" w:rsidP="088FD2F0">
            <w:pPr>
              <w:pStyle w:val="ListParagraph"/>
              <w:spacing w:after="0" w:line="240" w:lineRule="auto"/>
              <w:rPr>
                <w:rFonts w:ascii="Arial" w:eastAsia="Arial" w:hAnsi="Arial" w:cs="Arial"/>
                <w:i/>
                <w:color w:val="000000" w:themeColor="text1"/>
                <w:lang w:eastAsia="en-GB"/>
              </w:rPr>
            </w:pPr>
          </w:p>
          <w:p w14:paraId="649E1398" w14:textId="5DFC611F" w:rsidR="00686F3A" w:rsidRPr="00BB79FA" w:rsidRDefault="5E12D84F" w:rsidP="00A23969">
            <w:pPr>
              <w:pStyle w:val="ListParagraph"/>
              <w:numPr>
                <w:ilvl w:val="0"/>
                <w:numId w:val="27"/>
              </w:num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assigned a risk weight of 15</w:t>
            </w:r>
            <w:r w:rsidR="31F25815" w:rsidRPr="00BB79FA">
              <w:rPr>
                <w:rFonts w:ascii="Arial" w:eastAsia="Arial" w:hAnsi="Arial" w:cs="Arial"/>
                <w:i/>
                <w:color w:val="000000" w:themeColor="text1"/>
                <w:lang w:eastAsia="en-GB"/>
              </w:rPr>
              <w:t>0</w:t>
            </w:r>
            <w:r w:rsidRPr="00BB79FA">
              <w:rPr>
                <w:rFonts w:ascii="Arial" w:eastAsia="Arial" w:hAnsi="Arial" w:cs="Arial"/>
                <w:i/>
                <w:color w:val="000000" w:themeColor="text1"/>
                <w:lang w:eastAsia="en-GB"/>
              </w:rPr>
              <w:t xml:space="preserve">% </w:t>
            </w:r>
            <w:r w:rsidR="6907E5F6" w:rsidRPr="00BB79FA">
              <w:rPr>
                <w:rFonts w:ascii="Arial" w:eastAsia="Arial" w:hAnsi="Arial" w:cs="Arial"/>
                <w:i/>
                <w:color w:val="000000" w:themeColor="text1"/>
                <w:lang w:eastAsia="en-GB"/>
              </w:rPr>
              <w:t>under</w:t>
            </w:r>
            <w:r w:rsidRPr="00BB79FA">
              <w:rPr>
                <w:rFonts w:ascii="Arial" w:eastAsia="Arial" w:hAnsi="Arial" w:cs="Arial"/>
                <w:i/>
                <w:color w:val="000000" w:themeColor="text1"/>
                <w:lang w:eastAsia="en-GB"/>
              </w:rPr>
              <w:t xml:space="preserve"> Article 124</w:t>
            </w:r>
            <w:r w:rsidR="0420E033" w:rsidRPr="00BB79FA">
              <w:rPr>
                <w:rFonts w:ascii="Arial" w:eastAsia="Arial" w:hAnsi="Arial" w:cs="Arial"/>
                <w:i/>
                <w:color w:val="000000" w:themeColor="text1"/>
                <w:lang w:eastAsia="en-GB"/>
              </w:rPr>
              <w:t>J(1)</w:t>
            </w:r>
            <w:r w:rsidRPr="00BB79FA">
              <w:rPr>
                <w:rFonts w:ascii="Arial" w:eastAsia="Arial" w:hAnsi="Arial" w:cs="Arial"/>
                <w:i/>
                <w:color w:val="000000" w:themeColor="text1"/>
                <w:lang w:eastAsia="en-GB"/>
              </w:rPr>
              <w:t xml:space="preserve"> of the Credit Risk: Standardised Approach (CRR) Part,</w:t>
            </w:r>
          </w:p>
          <w:p w14:paraId="037758B6" w14:textId="70EA7D9C" w:rsidR="00686F3A" w:rsidRPr="00BB79FA" w:rsidRDefault="00686F3A" w:rsidP="088FD2F0">
            <w:pPr>
              <w:spacing w:after="0" w:line="240" w:lineRule="auto"/>
              <w:rPr>
                <w:rFonts w:ascii="Arial" w:eastAsia="Arial" w:hAnsi="Arial" w:cs="Arial"/>
                <w:i/>
                <w:color w:val="000000" w:themeColor="text1"/>
                <w:lang w:eastAsia="en-GB"/>
              </w:rPr>
            </w:pPr>
          </w:p>
          <w:p w14:paraId="34A55171" w14:textId="115B0480" w:rsidR="00686F3A" w:rsidRPr="00BB79FA" w:rsidRDefault="5E12D84F"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shall be reported here.</w:t>
            </w:r>
          </w:p>
          <w:p w14:paraId="7321E653" w14:textId="0D14EF7D" w:rsidR="00686F3A" w:rsidRPr="00BB79FA" w:rsidRDefault="00686F3A" w:rsidP="00686F3A">
            <w:pPr>
              <w:spacing w:after="0" w:line="240" w:lineRule="auto"/>
              <w:rPr>
                <w:rFonts w:ascii="Arial" w:eastAsia="Arial" w:hAnsi="Arial" w:cs="Arial"/>
                <w:b/>
                <w:i/>
                <w:color w:val="000000"/>
                <w:kern w:val="0"/>
                <w:lang w:eastAsia="en-GB"/>
                <w14:ligatures w14:val="none"/>
              </w:rPr>
            </w:pPr>
          </w:p>
        </w:tc>
      </w:tr>
      <w:tr w:rsidR="00686F3A" w:rsidRPr="00BB79FA" w14:paraId="0CAF475B" w14:textId="77777777" w:rsidTr="005E746E">
        <w:trPr>
          <w:trHeight w:val="276"/>
        </w:trPr>
        <w:tc>
          <w:tcPr>
            <w:tcW w:w="750" w:type="dxa"/>
            <w:tcBorders>
              <w:top w:val="nil"/>
              <w:left w:val="single" w:sz="4" w:space="0" w:color="auto"/>
              <w:bottom w:val="single" w:sz="4" w:space="0" w:color="auto"/>
              <w:right w:val="single" w:sz="4" w:space="0" w:color="auto"/>
            </w:tcBorders>
            <w:noWrap/>
            <w:hideMark/>
          </w:tcPr>
          <w:p w14:paraId="3FA0439A" w14:textId="777777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190</w:t>
            </w:r>
          </w:p>
        </w:tc>
        <w:tc>
          <w:tcPr>
            <w:tcW w:w="7655" w:type="dxa"/>
            <w:tcBorders>
              <w:top w:val="nil"/>
              <w:left w:val="nil"/>
              <w:bottom w:val="single" w:sz="4" w:space="0" w:color="auto"/>
              <w:right w:val="single" w:sz="4" w:space="0" w:color="auto"/>
            </w:tcBorders>
            <w:shd w:val="clear" w:color="auto" w:fill="FFFFFF" w:themeFill="background1"/>
            <w:noWrap/>
            <w:hideMark/>
          </w:tcPr>
          <w:p w14:paraId="19FB92C0" w14:textId="2FDD5909" w:rsidR="00686F3A" w:rsidRPr="00BB79FA" w:rsidRDefault="00686F3A" w:rsidP="088FD2F0">
            <w:pPr>
              <w:spacing w:after="0" w:line="240" w:lineRule="auto"/>
              <w:rPr>
                <w:rFonts w:ascii="Arial" w:eastAsia="Arial" w:hAnsi="Arial" w:cs="Arial"/>
                <w:b/>
                <w:i/>
                <w:color w:val="000000" w:themeColor="text1"/>
                <w:u w:val="single"/>
                <w:lang w:eastAsia="en-GB"/>
              </w:rPr>
            </w:pPr>
            <w:r w:rsidRPr="00BB79FA">
              <w:rPr>
                <w:rFonts w:ascii="Arial" w:eastAsia="Arial" w:hAnsi="Arial" w:cs="Arial"/>
                <w:b/>
                <w:i/>
                <w:color w:val="000000"/>
                <w:kern w:val="0"/>
                <w:u w:val="single"/>
                <w:lang w:eastAsia="en-GB"/>
                <w14:ligatures w14:val="none"/>
              </w:rPr>
              <w:t xml:space="preserve">   of which: other RRE MDCFP exposures </w:t>
            </w:r>
            <w:r w:rsidR="49971B92" w:rsidRPr="00BB79FA">
              <w:rPr>
                <w:rFonts w:ascii="Arial" w:eastAsia="Arial" w:hAnsi="Arial" w:cs="Arial"/>
                <w:b/>
                <w:i/>
                <w:color w:val="000000"/>
                <w:kern w:val="0"/>
                <w:u w:val="single"/>
                <w:lang w:eastAsia="en-GB"/>
                <w14:ligatures w14:val="none"/>
              </w:rPr>
              <w:t>–</w:t>
            </w:r>
            <w:r w:rsidRPr="00BB79FA">
              <w:rPr>
                <w:rFonts w:ascii="Arial" w:eastAsia="Arial" w:hAnsi="Arial" w:cs="Arial"/>
                <w:b/>
                <w:i/>
                <w:color w:val="000000"/>
                <w:kern w:val="0"/>
                <w:u w:val="single"/>
                <w:lang w:eastAsia="en-GB"/>
                <w14:ligatures w14:val="none"/>
              </w:rPr>
              <w:t xml:space="preserve"> SMEs</w:t>
            </w:r>
          </w:p>
          <w:p w14:paraId="27F49FCB" w14:textId="101B3638" w:rsidR="00686F3A" w:rsidRPr="00BB79FA" w:rsidRDefault="00686F3A" w:rsidP="088FD2F0">
            <w:pPr>
              <w:spacing w:after="0" w:line="240" w:lineRule="auto"/>
              <w:rPr>
                <w:rFonts w:ascii="Arial" w:eastAsia="Arial" w:hAnsi="Arial" w:cs="Arial"/>
                <w:b/>
                <w:i/>
                <w:color w:val="000000" w:themeColor="text1"/>
                <w:lang w:eastAsia="en-GB"/>
              </w:rPr>
            </w:pPr>
          </w:p>
          <w:p w14:paraId="02DE176C" w14:textId="0A915EDB" w:rsidR="026E47AA" w:rsidRPr="00BB79FA" w:rsidRDefault="026E47AA" w:rsidP="5B947EF8">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Only residential real estate exposures as defined under the Credit Risk: Standardised Approach (CRR) Part that are: </w:t>
            </w:r>
          </w:p>
          <w:p w14:paraId="385B0389" w14:textId="0FAEEBDB" w:rsidR="5B947EF8" w:rsidRPr="00BB79FA" w:rsidRDefault="5B947EF8" w:rsidP="5B947EF8">
            <w:pPr>
              <w:spacing w:after="0" w:line="240" w:lineRule="auto"/>
              <w:rPr>
                <w:rFonts w:ascii="Arial" w:eastAsia="Arial" w:hAnsi="Arial" w:cs="Arial"/>
                <w:i/>
                <w:color w:val="000000" w:themeColor="text1"/>
                <w:lang w:eastAsia="en-GB"/>
              </w:rPr>
            </w:pPr>
          </w:p>
          <w:p w14:paraId="07A9A0C0" w14:textId="39FB3DA4" w:rsidR="026E47AA" w:rsidRPr="00BB79FA" w:rsidRDefault="026E47AA" w:rsidP="00A23969">
            <w:pPr>
              <w:pStyle w:val="ListParagraph"/>
              <w:numPr>
                <w:ilvl w:val="0"/>
                <w:numId w:val="37"/>
              </w:num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classified as materially dependent on the cash</w:t>
            </w:r>
            <w:r w:rsidR="00256B22">
              <w:rPr>
                <w:rFonts w:ascii="Arial" w:eastAsia="Arial" w:hAnsi="Arial" w:cs="Arial"/>
                <w:i/>
                <w:color w:val="000000" w:themeColor="text1"/>
                <w:lang w:eastAsia="en-GB"/>
              </w:rPr>
              <w:t>-</w:t>
            </w:r>
            <w:r w:rsidRPr="00BB79FA">
              <w:rPr>
                <w:rFonts w:ascii="Arial" w:eastAsia="Arial" w:hAnsi="Arial" w:cs="Arial"/>
                <w:i/>
                <w:color w:val="000000" w:themeColor="text1"/>
                <w:lang w:eastAsia="en-GB"/>
              </w:rPr>
              <w:t>flows generated by the property under Article 124E of the Credit Risk: Standardised Approach (CRR) Part; and</w:t>
            </w:r>
          </w:p>
          <w:p w14:paraId="1D8610E2" w14:textId="7C1AB91C" w:rsidR="5B947EF8" w:rsidRPr="00BB79FA" w:rsidRDefault="5B947EF8" w:rsidP="5B947EF8">
            <w:pPr>
              <w:pStyle w:val="ListParagraph"/>
              <w:spacing w:after="0" w:line="240" w:lineRule="auto"/>
              <w:rPr>
                <w:rFonts w:ascii="Arial" w:eastAsia="Arial" w:hAnsi="Arial" w:cs="Arial"/>
                <w:i/>
                <w:color w:val="000000" w:themeColor="text1"/>
                <w:lang w:eastAsia="en-GB"/>
              </w:rPr>
            </w:pPr>
          </w:p>
          <w:p w14:paraId="230A8794" w14:textId="68340755" w:rsidR="026E47AA" w:rsidRPr="00BB79FA" w:rsidRDefault="026E47AA" w:rsidP="00A23969">
            <w:pPr>
              <w:pStyle w:val="ListParagraph"/>
              <w:numPr>
                <w:ilvl w:val="0"/>
                <w:numId w:val="37"/>
              </w:num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assigned a risk weight of 150% under Article 124J(1) of the Credit Risk: Standardised Approach (CRR) Part,</w:t>
            </w:r>
          </w:p>
          <w:p w14:paraId="105770B8" w14:textId="1ED91D08" w:rsidR="5B947EF8" w:rsidRPr="00BB79FA" w:rsidRDefault="5B947EF8" w:rsidP="5B947EF8">
            <w:pPr>
              <w:spacing w:after="0" w:line="240" w:lineRule="auto"/>
              <w:rPr>
                <w:rFonts w:ascii="Arial" w:eastAsia="Arial" w:hAnsi="Arial" w:cs="Arial"/>
                <w:i/>
                <w:color w:val="000000" w:themeColor="text1"/>
                <w:lang w:eastAsia="en-GB"/>
              </w:rPr>
            </w:pPr>
          </w:p>
          <w:p w14:paraId="5A72EFD2" w14:textId="50846951" w:rsidR="026E47AA" w:rsidRPr="00BB79FA" w:rsidRDefault="026E47AA" w:rsidP="5B947EF8">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shall be reported here. </w:t>
            </w:r>
          </w:p>
          <w:p w14:paraId="024E30B5" w14:textId="1D6F0CE0" w:rsidR="00686F3A" w:rsidRPr="00BB79FA" w:rsidRDefault="00686F3A" w:rsidP="00686F3A">
            <w:pPr>
              <w:spacing w:after="0" w:line="240" w:lineRule="auto"/>
              <w:rPr>
                <w:rFonts w:ascii="Arial" w:eastAsia="Arial" w:hAnsi="Arial" w:cs="Arial"/>
                <w:i/>
                <w:color w:val="000000"/>
                <w:kern w:val="0"/>
                <w:lang w:eastAsia="en-GB"/>
                <w14:ligatures w14:val="none"/>
              </w:rPr>
            </w:pPr>
          </w:p>
        </w:tc>
      </w:tr>
      <w:tr w:rsidR="00686F3A" w:rsidRPr="00BB79FA" w14:paraId="6897FB30" w14:textId="77777777" w:rsidTr="005E746E">
        <w:trPr>
          <w:trHeight w:val="276"/>
        </w:trPr>
        <w:tc>
          <w:tcPr>
            <w:tcW w:w="750" w:type="dxa"/>
            <w:tcBorders>
              <w:top w:val="nil"/>
              <w:left w:val="single" w:sz="4" w:space="0" w:color="auto"/>
              <w:bottom w:val="single" w:sz="4" w:space="0" w:color="auto"/>
              <w:right w:val="single" w:sz="4" w:space="0" w:color="auto"/>
            </w:tcBorders>
            <w:noWrap/>
            <w:hideMark/>
          </w:tcPr>
          <w:p w14:paraId="3B5118FF" w14:textId="777777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lastRenderedPageBreak/>
              <w:t>200</w:t>
            </w:r>
          </w:p>
        </w:tc>
        <w:tc>
          <w:tcPr>
            <w:tcW w:w="7655" w:type="dxa"/>
            <w:tcBorders>
              <w:top w:val="nil"/>
              <w:left w:val="nil"/>
              <w:bottom w:val="single" w:sz="4" w:space="0" w:color="auto"/>
              <w:right w:val="single" w:sz="4" w:space="0" w:color="auto"/>
            </w:tcBorders>
            <w:shd w:val="clear" w:color="auto" w:fill="FFFFFF" w:themeFill="background1"/>
            <w:noWrap/>
            <w:hideMark/>
          </w:tcPr>
          <w:p w14:paraId="1F679841" w14:textId="70EACC70" w:rsidR="00686F3A" w:rsidRPr="00BB79FA" w:rsidRDefault="00686F3A" w:rsidP="088FD2F0">
            <w:pPr>
              <w:spacing w:after="0" w:line="240" w:lineRule="auto"/>
              <w:rPr>
                <w:rFonts w:ascii="Arial" w:eastAsia="Arial" w:hAnsi="Arial" w:cs="Arial"/>
                <w:b/>
                <w:i/>
                <w:color w:val="000000" w:themeColor="text1"/>
                <w:u w:val="single"/>
                <w:lang w:eastAsia="en-GB"/>
              </w:rPr>
            </w:pPr>
            <w:r w:rsidRPr="00BB79FA">
              <w:rPr>
                <w:rFonts w:ascii="Arial" w:eastAsia="Arial" w:hAnsi="Arial" w:cs="Arial"/>
                <w:b/>
                <w:i/>
                <w:color w:val="000000"/>
                <w:kern w:val="0"/>
                <w:u w:val="single"/>
                <w:lang w:eastAsia="en-GB"/>
                <w14:ligatures w14:val="none"/>
              </w:rPr>
              <w:t xml:space="preserve">   of which: other CRE non-MDCFP exposures </w:t>
            </w:r>
            <w:r w:rsidR="704F6CE8" w:rsidRPr="00BB79FA">
              <w:rPr>
                <w:rFonts w:ascii="Arial" w:eastAsia="Arial" w:hAnsi="Arial" w:cs="Arial"/>
                <w:b/>
                <w:i/>
                <w:color w:val="000000"/>
                <w:kern w:val="0"/>
                <w:u w:val="single"/>
                <w:lang w:eastAsia="en-GB"/>
                <w14:ligatures w14:val="none"/>
              </w:rPr>
              <w:t>–</w:t>
            </w:r>
            <w:r w:rsidRPr="00BB79FA">
              <w:rPr>
                <w:rFonts w:ascii="Arial" w:eastAsia="Arial" w:hAnsi="Arial" w:cs="Arial"/>
                <w:b/>
                <w:i/>
                <w:color w:val="000000"/>
                <w:kern w:val="0"/>
                <w:u w:val="single"/>
                <w:lang w:eastAsia="en-GB"/>
                <w14:ligatures w14:val="none"/>
              </w:rPr>
              <w:t xml:space="preserve"> SMEs</w:t>
            </w:r>
          </w:p>
          <w:p w14:paraId="717F8100" w14:textId="033D1A5C" w:rsidR="00686F3A" w:rsidRPr="00BB79FA" w:rsidRDefault="00686F3A" w:rsidP="088FD2F0">
            <w:pPr>
              <w:spacing w:after="0" w:line="240" w:lineRule="auto"/>
              <w:rPr>
                <w:rFonts w:ascii="Arial" w:eastAsia="Arial" w:hAnsi="Arial" w:cs="Arial"/>
                <w:b/>
                <w:i/>
                <w:color w:val="000000" w:themeColor="text1"/>
                <w:lang w:eastAsia="en-GB"/>
              </w:rPr>
            </w:pPr>
          </w:p>
          <w:p w14:paraId="0A783D87" w14:textId="460A9228" w:rsidR="00686F3A" w:rsidRPr="00BB79FA" w:rsidRDefault="5DC1F025"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Sub-total row of rows 201 and 202.</w:t>
            </w:r>
          </w:p>
          <w:p w14:paraId="00C76FAC" w14:textId="0EDF4EF8" w:rsidR="00686F3A" w:rsidRPr="00BB79FA" w:rsidRDefault="00686F3A" w:rsidP="088FD2F0">
            <w:pPr>
              <w:spacing w:after="0" w:line="240" w:lineRule="auto"/>
              <w:rPr>
                <w:rFonts w:ascii="Arial" w:eastAsia="Arial" w:hAnsi="Arial" w:cs="Arial"/>
                <w:b/>
                <w:i/>
                <w:color w:val="000000" w:themeColor="text1"/>
                <w:lang w:eastAsia="en-GB"/>
              </w:rPr>
            </w:pPr>
          </w:p>
          <w:p w14:paraId="6D74A1B9" w14:textId="77777777" w:rsidR="006835DB" w:rsidRPr="00BB79FA" w:rsidRDefault="006835DB" w:rsidP="006835DB">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This row will be calculated by a formula, firms do not need to report here.</w:t>
            </w:r>
          </w:p>
          <w:p w14:paraId="3138BC2E" w14:textId="2BEF73C3" w:rsidR="00686F3A" w:rsidRPr="00BB79FA" w:rsidRDefault="00686F3A" w:rsidP="00686F3A">
            <w:pPr>
              <w:spacing w:after="0" w:line="240" w:lineRule="auto"/>
              <w:rPr>
                <w:rFonts w:ascii="Arial" w:eastAsia="Arial" w:hAnsi="Arial" w:cs="Arial"/>
                <w:i/>
                <w:color w:val="000000"/>
                <w:kern w:val="0"/>
                <w:lang w:eastAsia="en-GB"/>
                <w14:ligatures w14:val="none"/>
              </w:rPr>
            </w:pPr>
          </w:p>
        </w:tc>
      </w:tr>
      <w:tr w:rsidR="00686F3A" w:rsidRPr="00BB79FA" w14:paraId="537E5EC9" w14:textId="77777777" w:rsidTr="005E746E">
        <w:trPr>
          <w:trHeight w:val="276"/>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298C4F68" w14:textId="777777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201</w:t>
            </w:r>
          </w:p>
        </w:tc>
        <w:tc>
          <w:tcPr>
            <w:tcW w:w="7655" w:type="dxa"/>
            <w:tcBorders>
              <w:top w:val="nil"/>
              <w:left w:val="nil"/>
              <w:bottom w:val="single" w:sz="4" w:space="0" w:color="auto"/>
              <w:right w:val="single" w:sz="4" w:space="0" w:color="auto"/>
            </w:tcBorders>
            <w:shd w:val="clear" w:color="auto" w:fill="FFFFFF" w:themeFill="background1"/>
            <w:noWrap/>
            <w:hideMark/>
          </w:tcPr>
          <w:p w14:paraId="276D9235" w14:textId="7E5C8C5D" w:rsidR="00686F3A" w:rsidRPr="00BB79FA" w:rsidRDefault="00686F3A" w:rsidP="088FD2F0">
            <w:pPr>
              <w:spacing w:after="0" w:line="240" w:lineRule="auto"/>
              <w:rPr>
                <w:rFonts w:ascii="Arial" w:eastAsia="Arial" w:hAnsi="Arial" w:cs="Arial"/>
                <w:i/>
                <w:color w:val="000000" w:themeColor="text1"/>
                <w:u w:val="single"/>
                <w:lang w:eastAsia="en-GB"/>
              </w:rPr>
            </w:pPr>
            <w:r w:rsidRPr="00BB79FA">
              <w:rPr>
                <w:rFonts w:ascii="Arial" w:eastAsia="Arial" w:hAnsi="Arial" w:cs="Arial"/>
                <w:i/>
                <w:color w:val="000000"/>
                <w:kern w:val="0"/>
                <w:u w:val="single"/>
                <w:lang w:eastAsia="en-GB"/>
                <w14:ligatures w14:val="none"/>
              </w:rPr>
              <w:t xml:space="preserve">      of which: part of the exposure assigned a RW of 75% </w:t>
            </w:r>
          </w:p>
          <w:p w14:paraId="32B75483" w14:textId="7DA1AED4" w:rsidR="00686F3A" w:rsidRPr="00BB79FA" w:rsidRDefault="00686F3A" w:rsidP="088FD2F0">
            <w:pPr>
              <w:spacing w:after="0" w:line="240" w:lineRule="auto"/>
              <w:rPr>
                <w:rFonts w:ascii="Arial" w:eastAsia="Arial" w:hAnsi="Arial" w:cs="Arial"/>
                <w:i/>
                <w:color w:val="000000" w:themeColor="text1"/>
                <w:lang w:eastAsia="en-GB"/>
              </w:rPr>
            </w:pPr>
          </w:p>
          <w:p w14:paraId="69E0BCC2" w14:textId="5B24A477" w:rsidR="00686F3A" w:rsidRPr="00BB79FA" w:rsidRDefault="55D03057" w:rsidP="5B947EF8">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Only </w:t>
            </w:r>
            <w:r w:rsidR="27E0AB3B" w:rsidRPr="00BB79FA">
              <w:rPr>
                <w:rFonts w:ascii="Arial" w:eastAsia="Arial" w:hAnsi="Arial" w:cs="Arial"/>
                <w:i/>
                <w:color w:val="000000" w:themeColor="text1"/>
                <w:lang w:eastAsia="en-GB"/>
              </w:rPr>
              <w:t>commerci</w:t>
            </w:r>
            <w:r w:rsidRPr="00BB79FA">
              <w:rPr>
                <w:rFonts w:ascii="Arial" w:eastAsia="Arial" w:hAnsi="Arial" w:cs="Arial"/>
                <w:i/>
                <w:color w:val="000000" w:themeColor="text1"/>
                <w:lang w:eastAsia="en-GB"/>
              </w:rPr>
              <w:t xml:space="preserve">al real estate exposures as defined under the Credit Risk: Standardised Approach (CRR) Part that are:  </w:t>
            </w:r>
          </w:p>
          <w:p w14:paraId="12E33089" w14:textId="439B8E8B" w:rsidR="00686F3A" w:rsidRPr="00BB79FA" w:rsidRDefault="55D03057" w:rsidP="5B947EF8">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 </w:t>
            </w:r>
          </w:p>
          <w:p w14:paraId="192C7437" w14:textId="0869587D" w:rsidR="00686F3A" w:rsidRPr="00BB79FA" w:rsidRDefault="005E310E" w:rsidP="00A23969">
            <w:pPr>
              <w:pStyle w:val="ListParagraph"/>
              <w:numPr>
                <w:ilvl w:val="0"/>
                <w:numId w:val="38"/>
              </w:numPr>
              <w:spacing w:after="0" w:line="240" w:lineRule="auto"/>
              <w:rPr>
                <w:rFonts w:ascii="Arial" w:eastAsia="Arial" w:hAnsi="Arial" w:cs="Arial"/>
                <w:i/>
                <w:color w:val="000000" w:themeColor="text1"/>
                <w:lang w:eastAsia="en-GB"/>
              </w:rPr>
            </w:pPr>
            <w:r>
              <w:rPr>
                <w:rFonts w:ascii="Arial" w:eastAsia="Arial" w:hAnsi="Arial" w:cs="Arial"/>
                <w:i/>
                <w:color w:val="000000" w:themeColor="text1"/>
                <w:lang w:eastAsia="en-GB"/>
              </w:rPr>
              <w:t xml:space="preserve">not </w:t>
            </w:r>
            <w:r w:rsidR="55D03057" w:rsidRPr="00BB79FA">
              <w:rPr>
                <w:rFonts w:ascii="Arial" w:eastAsia="Arial" w:hAnsi="Arial" w:cs="Arial"/>
                <w:i/>
                <w:color w:val="000000" w:themeColor="text1"/>
                <w:lang w:eastAsia="en-GB"/>
              </w:rPr>
              <w:t>classified as materially dependent on the cash</w:t>
            </w:r>
            <w:r w:rsidR="00256B22">
              <w:rPr>
                <w:rFonts w:ascii="Arial" w:eastAsia="Arial" w:hAnsi="Arial" w:cs="Arial"/>
                <w:i/>
                <w:color w:val="000000" w:themeColor="text1"/>
                <w:lang w:eastAsia="en-GB"/>
              </w:rPr>
              <w:t>-</w:t>
            </w:r>
            <w:r w:rsidR="55D03057" w:rsidRPr="00BB79FA">
              <w:rPr>
                <w:rFonts w:ascii="Arial" w:eastAsia="Arial" w:hAnsi="Arial" w:cs="Arial"/>
                <w:i/>
                <w:color w:val="000000" w:themeColor="text1"/>
                <w:lang w:eastAsia="en-GB"/>
              </w:rPr>
              <w:t xml:space="preserve">flows generated by the property under Article 124E of the Credit Risk: Standardised Approach (CRR) Part; and </w:t>
            </w:r>
          </w:p>
          <w:p w14:paraId="41C76877" w14:textId="2EBBDCA7" w:rsidR="00686F3A" w:rsidRPr="00BB79FA" w:rsidRDefault="55D03057" w:rsidP="5B947EF8">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 </w:t>
            </w:r>
          </w:p>
          <w:p w14:paraId="66899B0A" w14:textId="6DE17EA2" w:rsidR="00686F3A" w:rsidRPr="00BB79FA" w:rsidRDefault="55D03057" w:rsidP="00A23969">
            <w:pPr>
              <w:pStyle w:val="ListParagraph"/>
              <w:numPr>
                <w:ilvl w:val="0"/>
                <w:numId w:val="38"/>
              </w:num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assigned a risk weight of </w:t>
            </w:r>
            <w:r w:rsidR="431B90E9" w:rsidRPr="00BB79FA">
              <w:rPr>
                <w:rFonts w:ascii="Arial" w:eastAsia="Arial" w:hAnsi="Arial" w:cs="Arial"/>
                <w:i/>
                <w:color w:val="000000" w:themeColor="text1"/>
                <w:lang w:eastAsia="en-GB"/>
              </w:rPr>
              <w:t>75</w:t>
            </w:r>
            <w:r w:rsidRPr="00BB79FA">
              <w:rPr>
                <w:rFonts w:ascii="Arial" w:eastAsia="Arial" w:hAnsi="Arial" w:cs="Arial"/>
                <w:i/>
                <w:color w:val="000000" w:themeColor="text1"/>
                <w:lang w:eastAsia="en-GB"/>
              </w:rPr>
              <w:t>% under Article 124J(</w:t>
            </w:r>
            <w:r w:rsidR="3809BB5B" w:rsidRPr="00BB79FA">
              <w:rPr>
                <w:rFonts w:ascii="Arial" w:eastAsia="Arial" w:hAnsi="Arial" w:cs="Arial"/>
                <w:i/>
                <w:color w:val="000000" w:themeColor="text1"/>
                <w:lang w:eastAsia="en-GB"/>
              </w:rPr>
              <w:t>3</w:t>
            </w:r>
            <w:r w:rsidRPr="00BB79FA">
              <w:rPr>
                <w:rFonts w:ascii="Arial" w:eastAsia="Arial" w:hAnsi="Arial" w:cs="Arial"/>
                <w:i/>
                <w:color w:val="000000" w:themeColor="text1"/>
                <w:lang w:eastAsia="en-GB"/>
              </w:rPr>
              <w:t>)</w:t>
            </w:r>
            <w:r w:rsidR="00CA2E61" w:rsidRPr="00BB79FA">
              <w:rPr>
                <w:rFonts w:ascii="Arial" w:eastAsia="Arial" w:hAnsi="Arial" w:cs="Arial"/>
                <w:i/>
                <w:color w:val="000000" w:themeColor="text1"/>
                <w:lang w:eastAsia="en-GB"/>
              </w:rPr>
              <w:t>(b)</w:t>
            </w:r>
            <w:r w:rsidRPr="00BB79FA">
              <w:rPr>
                <w:rFonts w:ascii="Arial" w:eastAsia="Arial" w:hAnsi="Arial" w:cs="Arial"/>
                <w:i/>
                <w:color w:val="000000" w:themeColor="text1"/>
                <w:lang w:eastAsia="en-GB"/>
              </w:rPr>
              <w:t xml:space="preserve"> of the Credit Risk: Standardised Approach (CRR) Part</w:t>
            </w:r>
            <w:r w:rsidR="2BE92FAD" w:rsidRPr="00BB79FA">
              <w:rPr>
                <w:rFonts w:ascii="Arial" w:eastAsia="Arial" w:hAnsi="Arial" w:cs="Arial"/>
                <w:i/>
                <w:color w:val="000000" w:themeColor="text1"/>
                <w:lang w:eastAsia="en-GB"/>
              </w:rPr>
              <w:t xml:space="preserve"> (due to Article 124L(1)(b) of the Credit Risk: Standardised Approach (CRR) Part)</w:t>
            </w:r>
            <w:r w:rsidR="587B4035" w:rsidRPr="00BB79FA">
              <w:rPr>
                <w:rFonts w:ascii="Arial" w:eastAsia="Arial" w:hAnsi="Arial" w:cs="Arial"/>
                <w:i/>
                <w:color w:val="000000" w:themeColor="text1"/>
                <w:lang w:eastAsia="en-GB"/>
              </w:rPr>
              <w:t>,</w:t>
            </w:r>
            <w:r w:rsidRPr="00BB79FA">
              <w:rPr>
                <w:rFonts w:ascii="Arial" w:eastAsia="Arial" w:hAnsi="Arial" w:cs="Arial"/>
                <w:i/>
                <w:color w:val="000000" w:themeColor="text1"/>
                <w:lang w:eastAsia="en-GB"/>
              </w:rPr>
              <w:t xml:space="preserve"> </w:t>
            </w:r>
          </w:p>
          <w:p w14:paraId="168F4C2F" w14:textId="4BB87DEB" w:rsidR="00686F3A" w:rsidRPr="00BB79FA" w:rsidRDefault="55D03057" w:rsidP="5B947EF8">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 </w:t>
            </w:r>
          </w:p>
          <w:p w14:paraId="578B36EF" w14:textId="139893A8" w:rsidR="00686F3A" w:rsidRPr="00BB79FA" w:rsidRDefault="55D03057"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shall be reported here.  </w:t>
            </w:r>
          </w:p>
          <w:p w14:paraId="06CF2300" w14:textId="081C9F39" w:rsidR="00686F3A" w:rsidRPr="00BB79FA" w:rsidRDefault="00686F3A" w:rsidP="00686F3A">
            <w:pPr>
              <w:spacing w:after="0" w:line="240" w:lineRule="auto"/>
              <w:rPr>
                <w:rFonts w:ascii="Arial" w:eastAsia="Arial" w:hAnsi="Arial" w:cs="Arial"/>
                <w:i/>
                <w:color w:val="000000"/>
                <w:kern w:val="0"/>
                <w:lang w:eastAsia="en-GB"/>
                <w14:ligatures w14:val="none"/>
              </w:rPr>
            </w:pPr>
          </w:p>
        </w:tc>
      </w:tr>
      <w:tr w:rsidR="00686F3A" w:rsidRPr="00BB79FA" w14:paraId="32E1C05A" w14:textId="77777777" w:rsidTr="005E746E">
        <w:trPr>
          <w:trHeight w:val="276"/>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3207302B" w14:textId="777777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202</w:t>
            </w:r>
          </w:p>
        </w:tc>
        <w:tc>
          <w:tcPr>
            <w:tcW w:w="7655" w:type="dxa"/>
            <w:tcBorders>
              <w:top w:val="nil"/>
              <w:left w:val="nil"/>
              <w:bottom w:val="single" w:sz="4" w:space="0" w:color="auto"/>
              <w:right w:val="single" w:sz="4" w:space="0" w:color="auto"/>
            </w:tcBorders>
            <w:shd w:val="clear" w:color="auto" w:fill="FFFFFF" w:themeFill="background1"/>
            <w:noWrap/>
            <w:hideMark/>
          </w:tcPr>
          <w:p w14:paraId="146D99B9" w14:textId="77777777" w:rsidR="00686F3A" w:rsidRPr="00BB79FA" w:rsidRDefault="00686F3A" w:rsidP="088FD2F0">
            <w:pPr>
              <w:spacing w:after="0" w:line="240" w:lineRule="auto"/>
              <w:rPr>
                <w:rFonts w:ascii="Arial" w:eastAsia="Arial" w:hAnsi="Arial" w:cs="Arial"/>
                <w:i/>
                <w:color w:val="000000" w:themeColor="text1"/>
                <w:u w:val="single"/>
                <w:lang w:eastAsia="en-GB"/>
              </w:rPr>
            </w:pPr>
            <w:r w:rsidRPr="00BB79FA">
              <w:rPr>
                <w:rFonts w:ascii="Arial" w:eastAsia="Arial" w:hAnsi="Arial" w:cs="Arial"/>
                <w:i/>
                <w:color w:val="000000"/>
                <w:kern w:val="0"/>
                <w:u w:val="single"/>
                <w:lang w:eastAsia="en-GB"/>
                <w14:ligatures w14:val="none"/>
              </w:rPr>
              <w:t xml:space="preserve">      of which: part of the exposure assigned a RW of 85% </w:t>
            </w:r>
          </w:p>
          <w:p w14:paraId="16FE31B7" w14:textId="79B74385" w:rsidR="00686F3A" w:rsidRPr="00BB79FA" w:rsidRDefault="00686F3A" w:rsidP="088FD2F0">
            <w:pPr>
              <w:spacing w:after="0" w:line="240" w:lineRule="auto"/>
              <w:rPr>
                <w:rFonts w:ascii="Arial" w:eastAsia="Arial" w:hAnsi="Arial" w:cs="Arial"/>
                <w:i/>
                <w:color w:val="000000" w:themeColor="text1"/>
                <w:lang w:eastAsia="en-GB"/>
              </w:rPr>
            </w:pPr>
          </w:p>
          <w:p w14:paraId="0D6C5B3A" w14:textId="40EE0570" w:rsidR="00686F3A" w:rsidRPr="00BB79FA" w:rsidRDefault="2CA3B156" w:rsidP="65871F89">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Only </w:t>
            </w:r>
            <w:r w:rsidR="1E697AB1" w:rsidRPr="00BB79FA">
              <w:rPr>
                <w:rFonts w:ascii="Arial" w:eastAsia="Arial" w:hAnsi="Arial" w:cs="Arial"/>
                <w:i/>
                <w:color w:val="000000" w:themeColor="text1"/>
                <w:lang w:eastAsia="en-GB"/>
              </w:rPr>
              <w:t>commerc</w:t>
            </w:r>
            <w:r w:rsidRPr="00BB79FA">
              <w:rPr>
                <w:rFonts w:ascii="Arial" w:eastAsia="Arial" w:hAnsi="Arial" w:cs="Arial"/>
                <w:i/>
                <w:color w:val="000000" w:themeColor="text1"/>
                <w:lang w:eastAsia="en-GB"/>
              </w:rPr>
              <w:t xml:space="preserve">ial real estate exposures as defined under the Credit Risk: Standardised Approach (CRR) Part that are:  </w:t>
            </w:r>
          </w:p>
          <w:p w14:paraId="6BF5C873" w14:textId="439B8E8B" w:rsidR="00686F3A" w:rsidRPr="00BB79FA" w:rsidRDefault="2CA3B156"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 </w:t>
            </w:r>
          </w:p>
          <w:p w14:paraId="2D254E65" w14:textId="2B9E417B" w:rsidR="00686F3A" w:rsidRPr="00BB79FA" w:rsidRDefault="005E310E" w:rsidP="00A23969">
            <w:pPr>
              <w:pStyle w:val="ListParagraph"/>
              <w:numPr>
                <w:ilvl w:val="0"/>
                <w:numId w:val="39"/>
              </w:numPr>
              <w:spacing w:after="0" w:line="240" w:lineRule="auto"/>
              <w:rPr>
                <w:rFonts w:ascii="Arial" w:eastAsia="Arial" w:hAnsi="Arial" w:cs="Arial"/>
                <w:i/>
                <w:color w:val="000000" w:themeColor="text1"/>
                <w:lang w:eastAsia="en-GB"/>
              </w:rPr>
            </w:pPr>
            <w:r>
              <w:rPr>
                <w:rFonts w:ascii="Arial" w:eastAsia="Arial" w:hAnsi="Arial" w:cs="Arial"/>
                <w:i/>
                <w:color w:val="000000" w:themeColor="text1"/>
                <w:lang w:eastAsia="en-GB"/>
              </w:rPr>
              <w:t xml:space="preserve">not </w:t>
            </w:r>
            <w:r w:rsidR="2CA3B156" w:rsidRPr="00BB79FA">
              <w:rPr>
                <w:rFonts w:ascii="Arial" w:eastAsia="Arial" w:hAnsi="Arial" w:cs="Arial"/>
                <w:i/>
                <w:color w:val="000000" w:themeColor="text1"/>
                <w:lang w:eastAsia="en-GB"/>
              </w:rPr>
              <w:t>classified as materially dependent on the cash</w:t>
            </w:r>
            <w:r w:rsidR="00256B22">
              <w:rPr>
                <w:rFonts w:ascii="Arial" w:eastAsia="Arial" w:hAnsi="Arial" w:cs="Arial"/>
                <w:i/>
                <w:color w:val="000000" w:themeColor="text1"/>
                <w:lang w:eastAsia="en-GB"/>
              </w:rPr>
              <w:t>-</w:t>
            </w:r>
            <w:r w:rsidR="2CA3B156" w:rsidRPr="00BB79FA">
              <w:rPr>
                <w:rFonts w:ascii="Arial" w:eastAsia="Arial" w:hAnsi="Arial" w:cs="Arial"/>
                <w:i/>
                <w:color w:val="000000" w:themeColor="text1"/>
                <w:lang w:eastAsia="en-GB"/>
              </w:rPr>
              <w:t xml:space="preserve">flows generated by the property under Article 124E of the Credit Risk: Standardised Approach (CRR) Part; and </w:t>
            </w:r>
          </w:p>
          <w:p w14:paraId="161FFDB1" w14:textId="2EBBDCA7" w:rsidR="00686F3A" w:rsidRPr="00BB79FA" w:rsidRDefault="2CA3B156"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 </w:t>
            </w:r>
          </w:p>
          <w:p w14:paraId="507144AB" w14:textId="73901F50" w:rsidR="00686F3A" w:rsidRPr="00BB79FA" w:rsidRDefault="2CA3B156" w:rsidP="00A23969">
            <w:pPr>
              <w:pStyle w:val="ListParagraph"/>
              <w:numPr>
                <w:ilvl w:val="0"/>
                <w:numId w:val="39"/>
              </w:num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assigned a risk weight of 85% under Article 124J(3)</w:t>
            </w:r>
            <w:r w:rsidR="00CA2E61" w:rsidRPr="00BB79FA">
              <w:rPr>
                <w:rFonts w:ascii="Arial" w:eastAsia="Arial" w:hAnsi="Arial" w:cs="Arial"/>
                <w:i/>
                <w:color w:val="000000" w:themeColor="text1"/>
                <w:lang w:eastAsia="en-GB"/>
              </w:rPr>
              <w:t>(b)</w:t>
            </w:r>
            <w:r w:rsidRPr="00BB79FA">
              <w:rPr>
                <w:rFonts w:ascii="Arial" w:eastAsia="Arial" w:hAnsi="Arial" w:cs="Arial"/>
                <w:i/>
                <w:color w:val="000000" w:themeColor="text1"/>
                <w:lang w:eastAsia="en-GB"/>
              </w:rPr>
              <w:t xml:space="preserve"> of the Credit Risk: Standardised Approach (CRR) Part</w:t>
            </w:r>
            <w:r w:rsidR="000A422C" w:rsidRPr="00BB79FA">
              <w:rPr>
                <w:rFonts w:ascii="Arial" w:eastAsia="Arial" w:hAnsi="Arial" w:cs="Arial"/>
                <w:i/>
                <w:color w:val="000000" w:themeColor="text1"/>
                <w:lang w:eastAsia="en-GB"/>
              </w:rPr>
              <w:t xml:space="preserve"> </w:t>
            </w:r>
            <w:r w:rsidRPr="00BB79FA">
              <w:rPr>
                <w:rFonts w:ascii="Arial" w:eastAsia="Arial" w:hAnsi="Arial" w:cs="Arial"/>
                <w:i/>
                <w:color w:val="000000" w:themeColor="text1"/>
                <w:lang w:eastAsia="en-GB"/>
              </w:rPr>
              <w:t>(due to Article 124L(1)(</w:t>
            </w:r>
            <w:r w:rsidR="1844AE27" w:rsidRPr="00BB79FA">
              <w:rPr>
                <w:rFonts w:ascii="Arial" w:eastAsia="Arial" w:hAnsi="Arial" w:cs="Arial"/>
                <w:i/>
                <w:color w:val="000000" w:themeColor="text1"/>
                <w:lang w:eastAsia="en-GB"/>
              </w:rPr>
              <w:t>c</w:t>
            </w:r>
            <w:r w:rsidRPr="00BB79FA">
              <w:rPr>
                <w:rFonts w:ascii="Arial" w:eastAsia="Arial" w:hAnsi="Arial" w:cs="Arial"/>
                <w:i/>
                <w:color w:val="000000" w:themeColor="text1"/>
                <w:lang w:eastAsia="en-GB"/>
              </w:rPr>
              <w:t xml:space="preserve">) of the Credit Risk: Standardised Approach (CRR) Part), </w:t>
            </w:r>
          </w:p>
          <w:p w14:paraId="655383DA" w14:textId="4BB87DEB" w:rsidR="00686F3A" w:rsidRPr="00BB79FA" w:rsidRDefault="2CA3B156"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 </w:t>
            </w:r>
          </w:p>
          <w:p w14:paraId="06B06B03" w14:textId="19598F3C" w:rsidR="00686F3A" w:rsidRPr="00BB79FA" w:rsidRDefault="2CA3B156"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shall be reported here.  </w:t>
            </w:r>
          </w:p>
          <w:p w14:paraId="58CFB1B8" w14:textId="2EC156B8" w:rsidR="00686F3A" w:rsidRPr="00BB79FA" w:rsidRDefault="00686F3A" w:rsidP="00686F3A">
            <w:pPr>
              <w:spacing w:after="0" w:line="240" w:lineRule="auto"/>
              <w:rPr>
                <w:rFonts w:ascii="Arial" w:eastAsia="Arial" w:hAnsi="Arial" w:cs="Arial"/>
                <w:i/>
                <w:color w:val="000000"/>
                <w:kern w:val="0"/>
                <w:lang w:eastAsia="en-GB"/>
                <w14:ligatures w14:val="none"/>
              </w:rPr>
            </w:pPr>
          </w:p>
        </w:tc>
      </w:tr>
      <w:tr w:rsidR="00686F3A" w:rsidRPr="00BB79FA" w14:paraId="126B7611" w14:textId="77777777" w:rsidTr="005E746E">
        <w:trPr>
          <w:trHeight w:val="276"/>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199D14BD" w14:textId="777777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210</w:t>
            </w:r>
          </w:p>
        </w:tc>
        <w:tc>
          <w:tcPr>
            <w:tcW w:w="7655" w:type="dxa"/>
            <w:tcBorders>
              <w:top w:val="nil"/>
              <w:left w:val="nil"/>
              <w:bottom w:val="single" w:sz="4" w:space="0" w:color="auto"/>
              <w:right w:val="single" w:sz="4" w:space="0" w:color="auto"/>
            </w:tcBorders>
            <w:shd w:val="clear" w:color="auto" w:fill="FFFFFF" w:themeFill="background1"/>
            <w:noWrap/>
            <w:hideMark/>
          </w:tcPr>
          <w:p w14:paraId="3282BE96" w14:textId="01194975" w:rsidR="00686F3A" w:rsidRPr="00BB79FA" w:rsidRDefault="00686F3A" w:rsidP="088FD2F0">
            <w:pPr>
              <w:spacing w:after="0" w:line="240" w:lineRule="auto"/>
              <w:rPr>
                <w:rFonts w:ascii="Arial" w:eastAsia="Arial" w:hAnsi="Arial" w:cs="Arial"/>
                <w:b/>
                <w:i/>
                <w:color w:val="000000" w:themeColor="text1"/>
                <w:u w:val="single"/>
                <w:lang w:eastAsia="en-GB"/>
              </w:rPr>
            </w:pPr>
            <w:r w:rsidRPr="00BB79FA">
              <w:rPr>
                <w:rFonts w:ascii="Arial" w:eastAsia="Arial" w:hAnsi="Arial" w:cs="Arial"/>
                <w:b/>
                <w:i/>
                <w:color w:val="000000"/>
                <w:kern w:val="0"/>
                <w:u w:val="single"/>
                <w:lang w:eastAsia="en-GB"/>
                <w14:ligatures w14:val="none"/>
              </w:rPr>
              <w:t xml:space="preserve">   of which: other RRE non-MDCFP exposures </w:t>
            </w:r>
            <w:r w:rsidR="05426638" w:rsidRPr="00BB79FA">
              <w:rPr>
                <w:rFonts w:ascii="Arial" w:eastAsia="Arial" w:hAnsi="Arial" w:cs="Arial"/>
                <w:b/>
                <w:i/>
                <w:color w:val="000000"/>
                <w:kern w:val="0"/>
                <w:u w:val="single"/>
                <w:lang w:eastAsia="en-GB"/>
                <w14:ligatures w14:val="none"/>
              </w:rPr>
              <w:t>–</w:t>
            </w:r>
            <w:r w:rsidRPr="00BB79FA">
              <w:rPr>
                <w:rFonts w:ascii="Arial" w:eastAsia="Arial" w:hAnsi="Arial" w:cs="Arial"/>
                <w:b/>
                <w:i/>
                <w:color w:val="000000"/>
                <w:kern w:val="0"/>
                <w:u w:val="single"/>
                <w:lang w:eastAsia="en-GB"/>
                <w14:ligatures w14:val="none"/>
              </w:rPr>
              <w:t xml:space="preserve"> SMEs</w:t>
            </w:r>
          </w:p>
          <w:p w14:paraId="1552C099" w14:textId="25CA25A0" w:rsidR="00686F3A" w:rsidRPr="00BB79FA" w:rsidRDefault="00686F3A" w:rsidP="088FD2F0">
            <w:pPr>
              <w:spacing w:after="0" w:line="240" w:lineRule="auto"/>
              <w:rPr>
                <w:rFonts w:ascii="Arial" w:eastAsia="Arial" w:hAnsi="Arial" w:cs="Arial"/>
                <w:b/>
                <w:i/>
                <w:color w:val="000000" w:themeColor="text1"/>
                <w:lang w:eastAsia="en-GB"/>
              </w:rPr>
            </w:pPr>
          </w:p>
          <w:p w14:paraId="0CE75D39" w14:textId="435816EA" w:rsidR="00686F3A" w:rsidRPr="00BB79FA" w:rsidRDefault="0B251CEE" w:rsidP="68F54183">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Sub-total row of rows 211 and 212.</w:t>
            </w:r>
          </w:p>
          <w:p w14:paraId="22F13D53" w14:textId="0EDF4EF8" w:rsidR="00686F3A" w:rsidRPr="00BB79FA" w:rsidRDefault="00686F3A" w:rsidP="68F54183">
            <w:pPr>
              <w:spacing w:after="0" w:line="240" w:lineRule="auto"/>
              <w:rPr>
                <w:rFonts w:ascii="Arial" w:eastAsia="Arial" w:hAnsi="Arial" w:cs="Arial"/>
                <w:b/>
                <w:i/>
                <w:color w:val="000000" w:themeColor="text1"/>
                <w:lang w:eastAsia="en-GB"/>
              </w:rPr>
            </w:pPr>
          </w:p>
          <w:p w14:paraId="2D173A0D" w14:textId="77777777" w:rsidR="00A76E3E" w:rsidRPr="00BB79FA" w:rsidRDefault="00A76E3E" w:rsidP="00A76E3E">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This row will be calculated by a formula, firms do not need to report here.</w:t>
            </w:r>
          </w:p>
          <w:p w14:paraId="3A315A8C" w14:textId="1364D80C" w:rsidR="00686F3A" w:rsidRPr="00BB79FA" w:rsidRDefault="00686F3A" w:rsidP="00686F3A">
            <w:pPr>
              <w:spacing w:after="0" w:line="240" w:lineRule="auto"/>
              <w:rPr>
                <w:rFonts w:ascii="Arial" w:eastAsia="Arial" w:hAnsi="Arial" w:cs="Arial"/>
                <w:b/>
                <w:i/>
                <w:color w:val="000000"/>
                <w:kern w:val="0"/>
                <w:lang w:eastAsia="en-GB"/>
                <w14:ligatures w14:val="none"/>
              </w:rPr>
            </w:pPr>
          </w:p>
        </w:tc>
      </w:tr>
      <w:tr w:rsidR="00686F3A" w:rsidRPr="00BB79FA" w14:paraId="40DE2815" w14:textId="77777777" w:rsidTr="005E746E">
        <w:trPr>
          <w:trHeight w:val="276"/>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3F9D2F69" w14:textId="777777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211</w:t>
            </w:r>
          </w:p>
        </w:tc>
        <w:tc>
          <w:tcPr>
            <w:tcW w:w="7655" w:type="dxa"/>
            <w:tcBorders>
              <w:top w:val="nil"/>
              <w:left w:val="nil"/>
              <w:bottom w:val="single" w:sz="4" w:space="0" w:color="auto"/>
              <w:right w:val="single" w:sz="4" w:space="0" w:color="auto"/>
            </w:tcBorders>
            <w:shd w:val="clear" w:color="auto" w:fill="FFFFFF" w:themeFill="background1"/>
            <w:noWrap/>
            <w:hideMark/>
          </w:tcPr>
          <w:p w14:paraId="05B0520C" w14:textId="5B1EE52C" w:rsidR="00686F3A" w:rsidRPr="00BB79FA" w:rsidRDefault="00686F3A"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kern w:val="0"/>
                <w:u w:val="single"/>
                <w:lang w:eastAsia="en-GB"/>
                <w14:ligatures w14:val="none"/>
              </w:rPr>
              <w:t xml:space="preserve">      of which: part of the exposure assigned a RW of 75%</w:t>
            </w:r>
          </w:p>
          <w:p w14:paraId="51232728" w14:textId="5156B978" w:rsidR="00686F3A" w:rsidRPr="00BB79FA" w:rsidRDefault="00686F3A" w:rsidP="088FD2F0">
            <w:pPr>
              <w:spacing w:after="0" w:line="240" w:lineRule="auto"/>
              <w:rPr>
                <w:rFonts w:ascii="Arial" w:eastAsia="Arial" w:hAnsi="Arial" w:cs="Arial"/>
                <w:i/>
                <w:color w:val="000000" w:themeColor="text1"/>
                <w:lang w:eastAsia="en-GB"/>
              </w:rPr>
            </w:pPr>
          </w:p>
          <w:p w14:paraId="1DCE45F7" w14:textId="012CEEF4" w:rsidR="00686F3A" w:rsidRPr="00BB79FA" w:rsidRDefault="058729E9" w:rsidP="5A70105A">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Only residential real estate exposures as defined under the Credit Risk: Standardised Approach (CRR) Part that are:   </w:t>
            </w:r>
          </w:p>
          <w:p w14:paraId="774C3449" w14:textId="52C97C12" w:rsidR="00686F3A" w:rsidRPr="00BB79FA" w:rsidRDefault="058729E9" w:rsidP="5A70105A">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   </w:t>
            </w:r>
          </w:p>
          <w:p w14:paraId="4F7DAD7C" w14:textId="29D18C60" w:rsidR="00686F3A" w:rsidRPr="00BB79FA" w:rsidRDefault="005E310E" w:rsidP="00A23969">
            <w:pPr>
              <w:pStyle w:val="ListParagraph"/>
              <w:numPr>
                <w:ilvl w:val="0"/>
                <w:numId w:val="40"/>
              </w:numPr>
              <w:spacing w:after="0" w:line="240" w:lineRule="auto"/>
              <w:rPr>
                <w:rFonts w:ascii="Arial" w:eastAsia="Arial" w:hAnsi="Arial" w:cs="Arial"/>
                <w:i/>
                <w:color w:val="000000" w:themeColor="text1"/>
                <w:lang w:eastAsia="en-GB"/>
              </w:rPr>
            </w:pPr>
            <w:r>
              <w:rPr>
                <w:rFonts w:ascii="Arial" w:eastAsia="Arial" w:hAnsi="Arial" w:cs="Arial"/>
                <w:i/>
                <w:color w:val="000000" w:themeColor="text1"/>
                <w:lang w:eastAsia="en-GB"/>
              </w:rPr>
              <w:t xml:space="preserve">not </w:t>
            </w:r>
            <w:r w:rsidR="058729E9" w:rsidRPr="00BB79FA">
              <w:rPr>
                <w:rFonts w:ascii="Arial" w:eastAsia="Arial" w:hAnsi="Arial" w:cs="Arial"/>
                <w:i/>
                <w:color w:val="000000" w:themeColor="text1"/>
                <w:lang w:eastAsia="en-GB"/>
              </w:rPr>
              <w:t>classified as materially dependent on the cash</w:t>
            </w:r>
            <w:r w:rsidR="00256B22">
              <w:rPr>
                <w:rFonts w:ascii="Arial" w:eastAsia="Arial" w:hAnsi="Arial" w:cs="Arial"/>
                <w:i/>
                <w:color w:val="000000" w:themeColor="text1"/>
                <w:lang w:eastAsia="en-GB"/>
              </w:rPr>
              <w:t>-</w:t>
            </w:r>
            <w:r w:rsidR="058729E9" w:rsidRPr="00BB79FA">
              <w:rPr>
                <w:rFonts w:ascii="Arial" w:eastAsia="Arial" w:hAnsi="Arial" w:cs="Arial"/>
                <w:i/>
                <w:color w:val="000000" w:themeColor="text1"/>
                <w:lang w:eastAsia="en-GB"/>
              </w:rPr>
              <w:t xml:space="preserve">flows generated by the property under Article 124E of the Credit Risk: Standardised Approach (CRR) Part; and  </w:t>
            </w:r>
          </w:p>
          <w:p w14:paraId="20672B98" w14:textId="2D0525EE" w:rsidR="00686F3A" w:rsidRPr="00BB79FA" w:rsidRDefault="058729E9" w:rsidP="5A70105A">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  </w:t>
            </w:r>
          </w:p>
          <w:p w14:paraId="094182DF" w14:textId="3CD570C5" w:rsidR="00686F3A" w:rsidRPr="00BB79FA" w:rsidRDefault="058729E9" w:rsidP="00A23969">
            <w:pPr>
              <w:pStyle w:val="ListParagraph"/>
              <w:numPr>
                <w:ilvl w:val="0"/>
                <w:numId w:val="40"/>
              </w:num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assigned a risk weight of 75% under Article 124J(</w:t>
            </w:r>
            <w:r w:rsidR="5886BE55" w:rsidRPr="00BB79FA">
              <w:rPr>
                <w:rFonts w:ascii="Arial" w:eastAsia="Arial" w:hAnsi="Arial" w:cs="Arial"/>
                <w:i/>
                <w:color w:val="000000" w:themeColor="text1"/>
                <w:lang w:eastAsia="en-GB"/>
              </w:rPr>
              <w:t>2</w:t>
            </w:r>
            <w:r w:rsidRPr="00BB79FA">
              <w:rPr>
                <w:rFonts w:ascii="Arial" w:eastAsia="Arial" w:hAnsi="Arial" w:cs="Arial"/>
                <w:i/>
                <w:color w:val="000000" w:themeColor="text1"/>
                <w:lang w:eastAsia="en-GB"/>
              </w:rPr>
              <w:t>) of the Credit Risk: Standardised Approach (CRR) Part (</w:t>
            </w:r>
            <w:r w:rsidR="004234F5" w:rsidRPr="00BB79FA">
              <w:rPr>
                <w:rFonts w:ascii="Arial" w:eastAsia="Arial" w:hAnsi="Arial" w:cs="Arial"/>
                <w:i/>
                <w:color w:val="000000" w:themeColor="text1"/>
                <w:lang w:eastAsia="en-GB"/>
              </w:rPr>
              <w:t>either</w:t>
            </w:r>
            <w:r w:rsidRPr="00BB79FA">
              <w:rPr>
                <w:rFonts w:ascii="Arial" w:eastAsia="Arial" w:hAnsi="Arial" w:cs="Arial"/>
                <w:i/>
                <w:color w:val="000000" w:themeColor="text1"/>
                <w:lang w:eastAsia="en-GB"/>
              </w:rPr>
              <w:t xml:space="preserve"> </w:t>
            </w:r>
            <w:r w:rsidR="004F3343" w:rsidRPr="00BB79FA">
              <w:rPr>
                <w:rFonts w:ascii="Arial" w:eastAsia="Arial" w:hAnsi="Arial" w:cs="Arial"/>
                <w:i/>
                <w:color w:val="000000" w:themeColor="text1"/>
                <w:lang w:eastAsia="en-GB"/>
              </w:rPr>
              <w:t xml:space="preserve">paragraph </w:t>
            </w:r>
            <w:r w:rsidR="004234F5" w:rsidRPr="00BB79FA">
              <w:rPr>
                <w:rFonts w:ascii="Arial" w:eastAsia="Arial" w:hAnsi="Arial" w:cs="Arial"/>
                <w:i/>
                <w:color w:val="000000" w:themeColor="text1"/>
                <w:lang w:eastAsia="en-GB"/>
              </w:rPr>
              <w:t xml:space="preserve">(1)(b) or </w:t>
            </w:r>
            <w:r w:rsidR="004234F5" w:rsidRPr="00BB79FA">
              <w:rPr>
                <w:rFonts w:ascii="Arial" w:eastAsia="Arial" w:hAnsi="Arial" w:cs="Arial"/>
                <w:i/>
                <w:color w:val="000000" w:themeColor="text1"/>
                <w:lang w:eastAsia="en-GB"/>
              </w:rPr>
              <w:lastRenderedPageBreak/>
              <w:t xml:space="preserve">(1)(d) of </w:t>
            </w:r>
            <w:r w:rsidRPr="00BB79FA">
              <w:rPr>
                <w:rFonts w:ascii="Arial" w:eastAsia="Arial" w:hAnsi="Arial" w:cs="Arial"/>
                <w:i/>
                <w:color w:val="000000" w:themeColor="text1"/>
                <w:lang w:eastAsia="en-GB"/>
              </w:rPr>
              <w:t xml:space="preserve">Article 124L of the Credit Risk: Standardised Approach (CRR) Part),  </w:t>
            </w:r>
          </w:p>
          <w:p w14:paraId="2ED0662D" w14:textId="2A2EAFB5" w:rsidR="00686F3A" w:rsidRPr="00BB79FA" w:rsidRDefault="058729E9" w:rsidP="5A70105A">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  </w:t>
            </w:r>
          </w:p>
          <w:p w14:paraId="16CD989B" w14:textId="043D3CF4" w:rsidR="00686F3A" w:rsidRPr="00BB79FA" w:rsidRDefault="058729E9"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shall be reported here.   </w:t>
            </w:r>
          </w:p>
          <w:p w14:paraId="0C30A2B1" w14:textId="280E7E4A" w:rsidR="00686F3A" w:rsidRPr="00BB79FA" w:rsidRDefault="00686F3A" w:rsidP="00686F3A">
            <w:pPr>
              <w:spacing w:after="0" w:line="240" w:lineRule="auto"/>
              <w:rPr>
                <w:rFonts w:ascii="Arial" w:eastAsia="Arial" w:hAnsi="Arial" w:cs="Arial"/>
                <w:i/>
                <w:color w:val="000000"/>
                <w:kern w:val="0"/>
                <w:lang w:eastAsia="en-GB"/>
                <w14:ligatures w14:val="none"/>
              </w:rPr>
            </w:pPr>
          </w:p>
        </w:tc>
      </w:tr>
      <w:tr w:rsidR="00686F3A" w:rsidRPr="00BB79FA" w14:paraId="38C4FD70" w14:textId="77777777" w:rsidTr="005E746E">
        <w:trPr>
          <w:trHeight w:val="300"/>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25B487EB" w14:textId="777777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lastRenderedPageBreak/>
              <w:t>212</w:t>
            </w:r>
          </w:p>
        </w:tc>
        <w:tc>
          <w:tcPr>
            <w:tcW w:w="7655" w:type="dxa"/>
            <w:tcBorders>
              <w:top w:val="nil"/>
              <w:left w:val="nil"/>
              <w:bottom w:val="single" w:sz="4" w:space="0" w:color="auto"/>
              <w:right w:val="single" w:sz="4" w:space="0" w:color="auto"/>
            </w:tcBorders>
            <w:shd w:val="clear" w:color="auto" w:fill="FFFFFF" w:themeFill="background1"/>
            <w:noWrap/>
            <w:hideMark/>
          </w:tcPr>
          <w:p w14:paraId="1E852EA2" w14:textId="77777777" w:rsidR="00686F3A" w:rsidRPr="00BB79FA" w:rsidRDefault="00686F3A" w:rsidP="088FD2F0">
            <w:pPr>
              <w:spacing w:after="0" w:line="240" w:lineRule="auto"/>
              <w:rPr>
                <w:rFonts w:ascii="Arial" w:eastAsia="Arial" w:hAnsi="Arial" w:cs="Arial"/>
                <w:i/>
                <w:color w:val="000000" w:themeColor="text1"/>
                <w:u w:val="single"/>
                <w:lang w:eastAsia="en-GB"/>
              </w:rPr>
            </w:pPr>
            <w:r w:rsidRPr="00BB79FA">
              <w:rPr>
                <w:rFonts w:ascii="Arial" w:eastAsia="Arial" w:hAnsi="Arial" w:cs="Arial"/>
                <w:i/>
                <w:color w:val="000000"/>
                <w:kern w:val="0"/>
                <w:u w:val="single"/>
                <w:lang w:eastAsia="en-GB"/>
                <w14:ligatures w14:val="none"/>
              </w:rPr>
              <w:t xml:space="preserve">      of which: part of the exposure assigned a RW of 85%</w:t>
            </w:r>
          </w:p>
          <w:p w14:paraId="5D7A478C" w14:textId="7E1A7020" w:rsidR="00686F3A" w:rsidRPr="00BB79FA" w:rsidRDefault="00686F3A" w:rsidP="088FD2F0">
            <w:pPr>
              <w:spacing w:after="0" w:line="240" w:lineRule="auto"/>
              <w:rPr>
                <w:rFonts w:ascii="Arial" w:eastAsia="Arial" w:hAnsi="Arial" w:cs="Arial"/>
                <w:i/>
                <w:color w:val="000000" w:themeColor="text1"/>
                <w:lang w:eastAsia="en-GB"/>
              </w:rPr>
            </w:pPr>
          </w:p>
          <w:p w14:paraId="5E26C2C7" w14:textId="506CC495" w:rsidR="00686F3A" w:rsidRPr="00BB79FA" w:rsidRDefault="2BA0A444" w:rsidP="4F7A9F06">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Only residential real estate exposures as defined under the Credit Risk: Standardised Approach (CRR) Part that are:   </w:t>
            </w:r>
          </w:p>
          <w:p w14:paraId="7D96F32B" w14:textId="2890D24F" w:rsidR="00686F3A" w:rsidRPr="00BB79FA" w:rsidRDefault="2BA0A444"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  </w:t>
            </w:r>
          </w:p>
          <w:p w14:paraId="249C3FF1" w14:textId="7D05F414" w:rsidR="00686F3A" w:rsidRPr="00BB79FA" w:rsidRDefault="005E310E" w:rsidP="00A23969">
            <w:pPr>
              <w:pStyle w:val="ListParagraph"/>
              <w:numPr>
                <w:ilvl w:val="0"/>
                <w:numId w:val="41"/>
              </w:numPr>
              <w:spacing w:after="0" w:line="240" w:lineRule="auto"/>
              <w:rPr>
                <w:rFonts w:ascii="Arial" w:eastAsia="Arial" w:hAnsi="Arial" w:cs="Arial"/>
                <w:i/>
                <w:color w:val="000000" w:themeColor="text1"/>
                <w:lang w:eastAsia="en-GB"/>
              </w:rPr>
            </w:pPr>
            <w:r>
              <w:rPr>
                <w:rFonts w:ascii="Arial" w:eastAsia="Arial" w:hAnsi="Arial" w:cs="Arial"/>
                <w:i/>
                <w:color w:val="000000" w:themeColor="text1"/>
                <w:lang w:eastAsia="en-GB"/>
              </w:rPr>
              <w:t xml:space="preserve">not </w:t>
            </w:r>
            <w:r w:rsidR="2BA0A444" w:rsidRPr="00BB79FA">
              <w:rPr>
                <w:rFonts w:ascii="Arial" w:eastAsia="Arial" w:hAnsi="Arial" w:cs="Arial"/>
                <w:i/>
                <w:color w:val="000000" w:themeColor="text1"/>
                <w:lang w:eastAsia="en-GB"/>
              </w:rPr>
              <w:t>classified as materially dependent on the cash</w:t>
            </w:r>
            <w:r w:rsidR="00256B22">
              <w:rPr>
                <w:rFonts w:ascii="Arial" w:eastAsia="Arial" w:hAnsi="Arial" w:cs="Arial"/>
                <w:i/>
                <w:color w:val="000000" w:themeColor="text1"/>
                <w:lang w:eastAsia="en-GB"/>
              </w:rPr>
              <w:t>-</w:t>
            </w:r>
            <w:r w:rsidR="2BA0A444" w:rsidRPr="00BB79FA">
              <w:rPr>
                <w:rFonts w:ascii="Arial" w:eastAsia="Arial" w:hAnsi="Arial" w:cs="Arial"/>
                <w:i/>
                <w:color w:val="000000" w:themeColor="text1"/>
                <w:lang w:eastAsia="en-GB"/>
              </w:rPr>
              <w:t xml:space="preserve">flows generated by the property under Article 124E of the Credit Risk: Standardised Approach (CRR) Part; and  </w:t>
            </w:r>
          </w:p>
          <w:p w14:paraId="1919695A" w14:textId="2D0525EE" w:rsidR="00686F3A" w:rsidRPr="00BB79FA" w:rsidRDefault="2BA0A444"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  </w:t>
            </w:r>
          </w:p>
          <w:p w14:paraId="30825F81" w14:textId="770DE4F9" w:rsidR="00686F3A" w:rsidRPr="00BB79FA" w:rsidRDefault="2BA0A444" w:rsidP="00A23969">
            <w:pPr>
              <w:pStyle w:val="ListParagraph"/>
              <w:numPr>
                <w:ilvl w:val="0"/>
                <w:numId w:val="41"/>
              </w:num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assigned a risk weight of </w:t>
            </w:r>
            <w:r w:rsidR="008F703E" w:rsidRPr="00BB79FA">
              <w:rPr>
                <w:rFonts w:ascii="Arial" w:eastAsia="Arial" w:hAnsi="Arial" w:cs="Arial"/>
                <w:i/>
                <w:color w:val="000000" w:themeColor="text1"/>
                <w:lang w:eastAsia="en-GB"/>
              </w:rPr>
              <w:t>8</w:t>
            </w:r>
            <w:r w:rsidRPr="00BB79FA">
              <w:rPr>
                <w:rFonts w:ascii="Arial" w:eastAsia="Arial" w:hAnsi="Arial" w:cs="Arial"/>
                <w:i/>
                <w:color w:val="000000" w:themeColor="text1"/>
                <w:lang w:eastAsia="en-GB"/>
              </w:rPr>
              <w:t>5% under Article 124J(2) of the Credit Risk: Standardised Approach (CRR) Part (</w:t>
            </w:r>
            <w:r w:rsidR="004F3343" w:rsidRPr="00BB79FA">
              <w:rPr>
                <w:rFonts w:ascii="Arial" w:eastAsia="Arial" w:hAnsi="Arial" w:cs="Arial"/>
                <w:i/>
                <w:color w:val="000000" w:themeColor="text1"/>
                <w:lang w:eastAsia="en-GB"/>
              </w:rPr>
              <w:t xml:space="preserve">either paragraph </w:t>
            </w:r>
            <w:r w:rsidRPr="00BB79FA">
              <w:rPr>
                <w:rFonts w:ascii="Arial" w:eastAsia="Arial" w:hAnsi="Arial" w:cs="Arial"/>
                <w:i/>
                <w:color w:val="000000" w:themeColor="text1"/>
                <w:lang w:eastAsia="en-GB"/>
              </w:rPr>
              <w:t xml:space="preserve">(1)(c) </w:t>
            </w:r>
            <w:r w:rsidR="004F3343" w:rsidRPr="00BB79FA">
              <w:rPr>
                <w:rFonts w:ascii="Arial" w:eastAsia="Arial" w:hAnsi="Arial" w:cs="Arial"/>
                <w:i/>
                <w:color w:val="000000" w:themeColor="text1"/>
                <w:lang w:eastAsia="en-GB"/>
              </w:rPr>
              <w:t>or (1)(d</w:t>
            </w:r>
            <w:r w:rsidR="004234F5" w:rsidRPr="00BB79FA">
              <w:rPr>
                <w:rFonts w:ascii="Arial" w:eastAsia="Arial" w:hAnsi="Arial" w:cs="Arial"/>
                <w:i/>
                <w:color w:val="000000" w:themeColor="text1"/>
                <w:lang w:eastAsia="en-GB"/>
              </w:rPr>
              <w:t xml:space="preserve">) of </w:t>
            </w:r>
            <w:r w:rsidRPr="00BB79FA">
              <w:rPr>
                <w:rFonts w:ascii="Arial" w:eastAsia="Arial" w:hAnsi="Arial" w:cs="Arial"/>
                <w:i/>
                <w:color w:val="000000" w:themeColor="text1"/>
                <w:lang w:eastAsia="en-GB"/>
              </w:rPr>
              <w:t xml:space="preserve">Article 124L of the Credit Risk: Standardised Approach (CRR) Part),  </w:t>
            </w:r>
          </w:p>
          <w:p w14:paraId="1668E694" w14:textId="2A2EAFB5" w:rsidR="00686F3A" w:rsidRPr="00BB79FA" w:rsidRDefault="2BA0A444"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  </w:t>
            </w:r>
          </w:p>
          <w:p w14:paraId="4123F3BE" w14:textId="7CAF169F" w:rsidR="00686F3A" w:rsidRPr="00BB79FA" w:rsidRDefault="2BA0A444"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shall be reported here.   </w:t>
            </w:r>
          </w:p>
          <w:p w14:paraId="19CF177E" w14:textId="1B305EBE" w:rsidR="00686F3A" w:rsidRPr="00BB79FA" w:rsidRDefault="00686F3A" w:rsidP="00686F3A">
            <w:pPr>
              <w:spacing w:after="0" w:line="240" w:lineRule="auto"/>
              <w:rPr>
                <w:rFonts w:ascii="Arial" w:eastAsia="Arial" w:hAnsi="Arial" w:cs="Arial"/>
                <w:i/>
                <w:color w:val="000000"/>
                <w:kern w:val="0"/>
                <w:lang w:eastAsia="en-GB"/>
                <w14:ligatures w14:val="none"/>
              </w:rPr>
            </w:pPr>
          </w:p>
        </w:tc>
      </w:tr>
      <w:tr w:rsidR="00686F3A" w:rsidRPr="00BB79FA" w14:paraId="2D12E9F6" w14:textId="77777777" w:rsidTr="005E746E">
        <w:trPr>
          <w:trHeight w:val="276"/>
        </w:trPr>
        <w:tc>
          <w:tcPr>
            <w:tcW w:w="750" w:type="dxa"/>
            <w:tcBorders>
              <w:top w:val="nil"/>
              <w:left w:val="single" w:sz="4" w:space="0" w:color="auto"/>
              <w:bottom w:val="single" w:sz="4" w:space="0" w:color="auto"/>
              <w:right w:val="single" w:sz="4" w:space="0" w:color="auto"/>
            </w:tcBorders>
            <w:noWrap/>
            <w:hideMark/>
          </w:tcPr>
          <w:p w14:paraId="6C5D23C2" w14:textId="5FCFF31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2</w:t>
            </w:r>
            <w:r w:rsidR="006F5A88" w:rsidRPr="00BB79FA">
              <w:rPr>
                <w:rFonts w:ascii="Arial" w:eastAsia="Arial" w:hAnsi="Arial" w:cs="Arial"/>
                <w:color w:val="000000"/>
                <w:kern w:val="0"/>
                <w:lang w:eastAsia="en-GB"/>
                <w14:ligatures w14:val="none"/>
              </w:rPr>
              <w:t>2</w:t>
            </w:r>
            <w:r w:rsidRPr="00BB79FA">
              <w:rPr>
                <w:rFonts w:ascii="Arial" w:eastAsia="Arial" w:hAnsi="Arial" w:cs="Arial"/>
                <w:color w:val="000000"/>
                <w:kern w:val="0"/>
                <w:lang w:eastAsia="en-GB"/>
                <w14:ligatures w14:val="none"/>
              </w:rPr>
              <w:t>0</w:t>
            </w:r>
            <w:r w:rsidR="00766A61" w:rsidRPr="00BB79FA">
              <w:rPr>
                <w:rFonts w:ascii="Arial" w:eastAsia="Arial" w:hAnsi="Arial" w:cs="Arial"/>
                <w:color w:val="000000"/>
                <w:kern w:val="0"/>
                <w:lang w:eastAsia="en-GB"/>
                <w14:ligatures w14:val="none"/>
              </w:rPr>
              <w:t xml:space="preserve"> - 2</w:t>
            </w:r>
            <w:r w:rsidR="006F5A88" w:rsidRPr="00BB79FA">
              <w:rPr>
                <w:rFonts w:ascii="Arial" w:eastAsia="Arial" w:hAnsi="Arial" w:cs="Arial"/>
                <w:color w:val="000000"/>
                <w:kern w:val="0"/>
                <w:lang w:eastAsia="en-GB"/>
                <w14:ligatures w14:val="none"/>
              </w:rPr>
              <w:t>4</w:t>
            </w:r>
            <w:r w:rsidR="00766A61" w:rsidRPr="00BB79FA">
              <w:rPr>
                <w:rFonts w:ascii="Arial" w:eastAsia="Arial" w:hAnsi="Arial" w:cs="Arial"/>
                <w:color w:val="000000"/>
                <w:kern w:val="0"/>
                <w:lang w:eastAsia="en-GB"/>
                <w14:ligatures w14:val="none"/>
              </w:rPr>
              <w:t>5</w:t>
            </w:r>
          </w:p>
        </w:tc>
        <w:tc>
          <w:tcPr>
            <w:tcW w:w="7655" w:type="dxa"/>
            <w:tcBorders>
              <w:top w:val="nil"/>
              <w:left w:val="nil"/>
              <w:bottom w:val="single" w:sz="4" w:space="0" w:color="auto"/>
              <w:right w:val="single" w:sz="4" w:space="0" w:color="auto"/>
            </w:tcBorders>
            <w:shd w:val="clear" w:color="auto" w:fill="FFFFFF" w:themeFill="background1"/>
            <w:noWrap/>
            <w:hideMark/>
          </w:tcPr>
          <w:p w14:paraId="391BADEE" w14:textId="765308C7" w:rsidR="00766A61" w:rsidRPr="00BB79FA" w:rsidRDefault="00766A61" w:rsidP="088FD2F0">
            <w:pPr>
              <w:spacing w:after="0" w:line="240" w:lineRule="auto"/>
              <w:rPr>
                <w:rFonts w:ascii="Arial" w:eastAsia="Arial" w:hAnsi="Arial" w:cs="Arial"/>
                <w:b/>
                <w:i/>
                <w:color w:val="000000" w:themeColor="text1"/>
                <w:lang w:eastAsia="en-GB"/>
              </w:rPr>
            </w:pPr>
          </w:p>
          <w:p w14:paraId="793F67AA" w14:textId="4C50EA71" w:rsidR="00686F3A" w:rsidRPr="00BB79FA" w:rsidRDefault="0095620A" w:rsidP="088FD2F0">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Do not</w:t>
            </w:r>
            <w:r w:rsidR="00766A61" w:rsidRPr="00BB79FA">
              <w:rPr>
                <w:rFonts w:ascii="Arial" w:eastAsia="Arial" w:hAnsi="Arial" w:cs="Arial"/>
                <w:i/>
                <w:color w:val="000000" w:themeColor="text1"/>
                <w:lang w:eastAsia="en-GB"/>
              </w:rPr>
              <w:t xml:space="preserve"> complete these rows for </w:t>
            </w:r>
            <w:r w:rsidR="009D4BA0" w:rsidRPr="00BB79FA">
              <w:rPr>
                <w:rFonts w:ascii="Arial" w:eastAsia="Arial" w:hAnsi="Arial" w:cs="Arial"/>
                <w:i/>
                <w:color w:val="000000" w:themeColor="text1"/>
                <w:lang w:eastAsia="en-GB"/>
              </w:rPr>
              <w:t>Submission 2</w:t>
            </w:r>
            <w:r w:rsidR="00766A61" w:rsidRPr="00BB79FA">
              <w:rPr>
                <w:rFonts w:ascii="Arial" w:eastAsia="Arial" w:hAnsi="Arial" w:cs="Arial"/>
                <w:i/>
                <w:color w:val="000000" w:themeColor="text1"/>
                <w:lang w:eastAsia="en-GB"/>
              </w:rPr>
              <w:t>a.</w:t>
            </w:r>
          </w:p>
          <w:p w14:paraId="4C31C9AE" w14:textId="116DC32B" w:rsidR="00686F3A" w:rsidRPr="00BB79FA" w:rsidRDefault="00686F3A" w:rsidP="00686F3A">
            <w:pPr>
              <w:spacing w:after="0" w:line="240" w:lineRule="auto"/>
              <w:rPr>
                <w:rFonts w:ascii="Arial" w:eastAsia="Arial" w:hAnsi="Arial" w:cs="Arial"/>
                <w:b/>
                <w:i/>
                <w:color w:val="000000"/>
                <w:kern w:val="0"/>
                <w:lang w:eastAsia="en-GB"/>
                <w14:ligatures w14:val="none"/>
              </w:rPr>
            </w:pPr>
          </w:p>
        </w:tc>
      </w:tr>
      <w:tr w:rsidR="00686F3A" w:rsidRPr="00BB79FA" w14:paraId="45A8985C" w14:textId="77777777" w:rsidTr="005E746E">
        <w:trPr>
          <w:trHeight w:val="276"/>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042E5D5C" w14:textId="6899269E"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2</w:t>
            </w:r>
            <w:r w:rsidR="006F5A88" w:rsidRPr="00BB79FA">
              <w:rPr>
                <w:rFonts w:ascii="Arial" w:eastAsia="Arial" w:hAnsi="Arial" w:cs="Arial"/>
                <w:color w:val="000000"/>
                <w:kern w:val="0"/>
                <w:lang w:eastAsia="en-GB"/>
                <w14:ligatures w14:val="none"/>
              </w:rPr>
              <w:t>5</w:t>
            </w:r>
            <w:r w:rsidRPr="00BB79FA">
              <w:rPr>
                <w:rFonts w:ascii="Arial" w:eastAsia="Arial" w:hAnsi="Arial" w:cs="Arial"/>
                <w:color w:val="000000"/>
                <w:kern w:val="0"/>
                <w:lang w:eastAsia="en-GB"/>
                <w14:ligatures w14:val="none"/>
              </w:rPr>
              <w:t>0</w:t>
            </w:r>
          </w:p>
        </w:tc>
        <w:tc>
          <w:tcPr>
            <w:tcW w:w="7655" w:type="dxa"/>
            <w:tcBorders>
              <w:top w:val="nil"/>
              <w:left w:val="nil"/>
              <w:bottom w:val="single" w:sz="4" w:space="0" w:color="auto"/>
              <w:right w:val="single" w:sz="4" w:space="0" w:color="auto"/>
            </w:tcBorders>
            <w:shd w:val="clear" w:color="auto" w:fill="FFFFFF" w:themeFill="background1"/>
            <w:noWrap/>
            <w:hideMark/>
          </w:tcPr>
          <w:p w14:paraId="14F2AA7A" w14:textId="7DA9649B" w:rsidR="00686F3A" w:rsidRPr="00BB79FA" w:rsidRDefault="00686F3A" w:rsidP="1B0A179A">
            <w:pPr>
              <w:spacing w:after="0" w:line="240" w:lineRule="auto"/>
              <w:rPr>
                <w:rFonts w:ascii="Arial" w:eastAsia="Arial" w:hAnsi="Arial" w:cs="Arial"/>
                <w:b/>
                <w:i/>
                <w:color w:val="000000" w:themeColor="text1"/>
                <w:u w:val="single"/>
                <w:lang w:eastAsia="en-GB"/>
              </w:rPr>
            </w:pPr>
            <w:r w:rsidRPr="00BB79FA">
              <w:rPr>
                <w:rFonts w:ascii="Arial" w:eastAsia="Arial" w:hAnsi="Arial" w:cs="Arial"/>
                <w:b/>
                <w:i/>
                <w:color w:val="000000"/>
                <w:kern w:val="0"/>
                <w:u w:val="single"/>
                <w:lang w:eastAsia="en-GB"/>
                <w14:ligatures w14:val="none"/>
              </w:rPr>
              <w:t xml:space="preserve">   of which: project finance exposures (unrated)</w:t>
            </w:r>
          </w:p>
          <w:p w14:paraId="0D3E2A01" w14:textId="72A6ECE8" w:rsidR="00686F3A" w:rsidRPr="00BB79FA" w:rsidRDefault="00686F3A" w:rsidP="1B0A179A">
            <w:pPr>
              <w:spacing w:after="0" w:line="240" w:lineRule="auto"/>
              <w:rPr>
                <w:rFonts w:ascii="Arial" w:eastAsia="Arial" w:hAnsi="Arial" w:cs="Arial"/>
                <w:b/>
                <w:i/>
                <w:color w:val="000000" w:themeColor="text1"/>
                <w:lang w:eastAsia="en-GB"/>
              </w:rPr>
            </w:pPr>
          </w:p>
          <w:p w14:paraId="64027E2B" w14:textId="40D02051" w:rsidR="00686F3A" w:rsidRPr="00BB79FA" w:rsidRDefault="15ADA5FF" w:rsidP="1B0A179A">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Sub-total row of rows 2</w:t>
            </w:r>
            <w:r w:rsidR="00BE6216" w:rsidRPr="00BB79FA">
              <w:rPr>
                <w:rFonts w:ascii="Arial" w:eastAsia="Arial" w:hAnsi="Arial" w:cs="Arial"/>
                <w:i/>
                <w:color w:val="000000" w:themeColor="text1"/>
                <w:lang w:eastAsia="en-GB"/>
              </w:rPr>
              <w:t>5</w:t>
            </w:r>
            <w:r w:rsidRPr="00BB79FA">
              <w:rPr>
                <w:rFonts w:ascii="Arial" w:eastAsia="Arial" w:hAnsi="Arial" w:cs="Arial"/>
                <w:i/>
                <w:color w:val="000000" w:themeColor="text1"/>
                <w:lang w:eastAsia="en-GB"/>
              </w:rPr>
              <w:t>1, 2</w:t>
            </w:r>
            <w:r w:rsidR="00BE6216" w:rsidRPr="00BB79FA">
              <w:rPr>
                <w:rFonts w:ascii="Arial" w:eastAsia="Arial" w:hAnsi="Arial" w:cs="Arial"/>
                <w:i/>
                <w:color w:val="000000" w:themeColor="text1"/>
                <w:lang w:eastAsia="en-GB"/>
              </w:rPr>
              <w:t>5</w:t>
            </w:r>
            <w:r w:rsidRPr="00BB79FA">
              <w:rPr>
                <w:rFonts w:ascii="Arial" w:eastAsia="Arial" w:hAnsi="Arial" w:cs="Arial"/>
                <w:i/>
                <w:color w:val="000000" w:themeColor="text1"/>
                <w:lang w:eastAsia="en-GB"/>
              </w:rPr>
              <w:t>2 and 2</w:t>
            </w:r>
            <w:r w:rsidR="00BE6216" w:rsidRPr="00BB79FA">
              <w:rPr>
                <w:rFonts w:ascii="Arial" w:eastAsia="Arial" w:hAnsi="Arial" w:cs="Arial"/>
                <w:i/>
                <w:color w:val="000000" w:themeColor="text1"/>
                <w:lang w:eastAsia="en-GB"/>
              </w:rPr>
              <w:t>5</w:t>
            </w:r>
            <w:r w:rsidRPr="00BB79FA">
              <w:rPr>
                <w:rFonts w:ascii="Arial" w:eastAsia="Arial" w:hAnsi="Arial" w:cs="Arial"/>
                <w:i/>
                <w:color w:val="000000" w:themeColor="text1"/>
                <w:lang w:eastAsia="en-GB"/>
              </w:rPr>
              <w:t>3.</w:t>
            </w:r>
          </w:p>
          <w:p w14:paraId="087DC75D" w14:textId="6F7A315E" w:rsidR="00686F3A" w:rsidRPr="00BB79FA" w:rsidRDefault="00686F3A" w:rsidP="1B0A179A">
            <w:pPr>
              <w:spacing w:after="0" w:line="240" w:lineRule="auto"/>
              <w:rPr>
                <w:rFonts w:ascii="Arial" w:eastAsia="Arial" w:hAnsi="Arial" w:cs="Arial"/>
                <w:b/>
                <w:i/>
                <w:color w:val="000000" w:themeColor="text1"/>
                <w:lang w:eastAsia="en-GB"/>
              </w:rPr>
            </w:pPr>
          </w:p>
          <w:p w14:paraId="7C9F3AB1" w14:textId="77777777" w:rsidR="00686F3A" w:rsidRPr="00BB79FA" w:rsidRDefault="00A71D69" w:rsidP="00686F3A">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This row will be calculated by a formula, firms do not need to report here.</w:t>
            </w:r>
          </w:p>
          <w:p w14:paraId="01C03472" w14:textId="25D5A244" w:rsidR="00686F3A" w:rsidRPr="00BB79FA" w:rsidRDefault="00686F3A" w:rsidP="00686F3A">
            <w:pPr>
              <w:spacing w:after="0" w:line="240" w:lineRule="auto"/>
              <w:rPr>
                <w:rFonts w:ascii="Arial" w:eastAsia="Arial" w:hAnsi="Arial" w:cs="Arial"/>
                <w:b/>
                <w:i/>
                <w:color w:val="000000"/>
                <w:kern w:val="0"/>
                <w:lang w:eastAsia="en-GB"/>
                <w14:ligatures w14:val="none"/>
              </w:rPr>
            </w:pPr>
          </w:p>
        </w:tc>
      </w:tr>
      <w:tr w:rsidR="00686F3A" w:rsidRPr="00BB79FA" w14:paraId="253B5CF2" w14:textId="77777777" w:rsidTr="005E746E">
        <w:trPr>
          <w:trHeight w:val="276"/>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6FE9DBEF" w14:textId="69F39015"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2</w:t>
            </w:r>
            <w:r w:rsidR="006F5A88" w:rsidRPr="00BB79FA">
              <w:rPr>
                <w:rFonts w:ascii="Arial" w:eastAsia="Arial" w:hAnsi="Arial" w:cs="Arial"/>
                <w:color w:val="000000"/>
                <w:kern w:val="0"/>
                <w:lang w:eastAsia="en-GB"/>
                <w14:ligatures w14:val="none"/>
              </w:rPr>
              <w:t>5</w:t>
            </w:r>
            <w:r w:rsidRPr="00BB79FA">
              <w:rPr>
                <w:rFonts w:ascii="Arial" w:eastAsia="Arial" w:hAnsi="Arial" w:cs="Arial"/>
                <w:color w:val="000000"/>
                <w:kern w:val="0"/>
                <w:lang w:eastAsia="en-GB"/>
                <w14:ligatures w14:val="none"/>
              </w:rPr>
              <w:t>1</w:t>
            </w:r>
          </w:p>
        </w:tc>
        <w:tc>
          <w:tcPr>
            <w:tcW w:w="7655" w:type="dxa"/>
            <w:tcBorders>
              <w:top w:val="nil"/>
              <w:left w:val="nil"/>
              <w:bottom w:val="single" w:sz="4" w:space="0" w:color="auto"/>
              <w:right w:val="single" w:sz="4" w:space="0" w:color="auto"/>
            </w:tcBorders>
            <w:shd w:val="clear" w:color="auto" w:fill="FFFFFF" w:themeFill="background1"/>
            <w:noWrap/>
            <w:hideMark/>
          </w:tcPr>
          <w:p w14:paraId="2585C36F" w14:textId="41025E6F" w:rsidR="00686F3A" w:rsidRPr="00BB79FA" w:rsidRDefault="00686F3A" w:rsidP="0C2AE6C7">
            <w:pPr>
              <w:spacing w:after="0" w:line="240" w:lineRule="auto"/>
              <w:rPr>
                <w:rFonts w:ascii="Arial" w:eastAsia="Arial" w:hAnsi="Arial" w:cs="Arial"/>
                <w:i/>
                <w:color w:val="000000" w:themeColor="text1"/>
                <w:u w:val="single"/>
                <w:lang w:eastAsia="en-GB"/>
              </w:rPr>
            </w:pPr>
            <w:r w:rsidRPr="00BB79FA">
              <w:rPr>
                <w:rFonts w:ascii="Arial" w:eastAsia="Arial" w:hAnsi="Arial" w:cs="Arial"/>
                <w:i/>
                <w:color w:val="000000"/>
                <w:kern w:val="0"/>
                <w:lang w:eastAsia="en-GB"/>
                <w14:ligatures w14:val="none"/>
              </w:rPr>
              <w:t xml:space="preserve"> </w:t>
            </w:r>
            <w:r w:rsidRPr="00BB79FA">
              <w:rPr>
                <w:rFonts w:ascii="Arial" w:eastAsia="Arial" w:hAnsi="Arial" w:cs="Arial"/>
                <w:i/>
                <w:color w:val="000000"/>
                <w:kern w:val="0"/>
                <w:u w:val="single"/>
                <w:lang w:eastAsia="en-GB"/>
                <w14:ligatures w14:val="none"/>
              </w:rPr>
              <w:t xml:space="preserve">     of which: assigned a RW of 80% </w:t>
            </w:r>
          </w:p>
          <w:p w14:paraId="4F7BA469" w14:textId="5FB36C6A" w:rsidR="00686F3A" w:rsidRPr="00BB79FA" w:rsidRDefault="00686F3A" w:rsidP="0C2AE6C7">
            <w:pPr>
              <w:spacing w:after="0" w:line="240" w:lineRule="auto"/>
              <w:rPr>
                <w:rFonts w:ascii="Arial" w:eastAsia="Arial" w:hAnsi="Arial" w:cs="Arial"/>
                <w:i/>
                <w:iCs/>
                <w:color w:val="000000" w:themeColor="text1"/>
                <w:lang w:eastAsia="en-GB"/>
              </w:rPr>
            </w:pPr>
          </w:p>
          <w:p w14:paraId="5C1545EC" w14:textId="76CE789E" w:rsidR="00686F3A" w:rsidRPr="00BB79FA" w:rsidRDefault="1E301A9F" w:rsidP="50F39694">
            <w:pPr>
              <w:spacing w:after="0" w:line="240" w:lineRule="auto"/>
              <w:rPr>
                <w:rFonts w:ascii="Arial" w:eastAsia="Arial" w:hAnsi="Arial" w:cs="Arial"/>
                <w:i/>
                <w:iCs/>
                <w:color w:val="000000" w:themeColor="text1"/>
                <w:lang w:eastAsia="en-GB"/>
              </w:rPr>
            </w:pPr>
            <w:r w:rsidRPr="00BB79FA">
              <w:rPr>
                <w:rFonts w:ascii="Arial" w:eastAsia="Arial" w:hAnsi="Arial" w:cs="Arial"/>
                <w:i/>
                <w:iCs/>
                <w:color w:val="000000" w:themeColor="text1"/>
                <w:lang w:eastAsia="en-GB"/>
              </w:rPr>
              <w:t>Only</w:t>
            </w:r>
            <w:r w:rsidR="1141EF22" w:rsidRPr="00BB79FA">
              <w:rPr>
                <w:rFonts w:ascii="Arial" w:eastAsia="Arial" w:hAnsi="Arial" w:cs="Arial"/>
                <w:i/>
                <w:iCs/>
                <w:color w:val="000000" w:themeColor="text1"/>
                <w:lang w:eastAsia="en-GB"/>
              </w:rPr>
              <w:t xml:space="preserve"> project finance exposures that are</w:t>
            </w:r>
            <w:r w:rsidR="00985415" w:rsidRPr="00BB79FA">
              <w:rPr>
                <w:rFonts w:ascii="Arial" w:eastAsia="Arial" w:hAnsi="Arial" w:cs="Arial"/>
                <w:i/>
                <w:iCs/>
                <w:color w:val="000000" w:themeColor="text1"/>
                <w:lang w:eastAsia="en-GB"/>
              </w:rPr>
              <w:t xml:space="preserve"> </w:t>
            </w:r>
            <w:r w:rsidRPr="00BB79FA">
              <w:rPr>
                <w:rFonts w:ascii="Arial" w:eastAsia="Arial" w:hAnsi="Arial" w:cs="Arial"/>
                <w:i/>
                <w:iCs/>
              </w:rPr>
              <w:t xml:space="preserve">assigned a risk weight of 80% under Article 122B(4) of the Credit Risk: Standardised Approach (CRR) Part </w:t>
            </w:r>
            <w:r w:rsidRPr="00BB79FA">
              <w:rPr>
                <w:rFonts w:ascii="Arial" w:eastAsia="Arial" w:hAnsi="Arial" w:cs="Arial"/>
                <w:i/>
                <w:iCs/>
                <w:color w:val="000000" w:themeColor="text1"/>
                <w:lang w:eastAsia="en-GB"/>
              </w:rPr>
              <w:t xml:space="preserve">shall be reported here. </w:t>
            </w:r>
          </w:p>
          <w:p w14:paraId="79A760D9" w14:textId="7DD634B9" w:rsidR="00686F3A" w:rsidRPr="00BB79FA" w:rsidRDefault="00686F3A" w:rsidP="00686F3A">
            <w:pPr>
              <w:spacing w:after="0" w:line="240" w:lineRule="auto"/>
              <w:rPr>
                <w:rFonts w:ascii="Arial" w:eastAsia="Arial" w:hAnsi="Arial" w:cs="Arial"/>
                <w:i/>
                <w:color w:val="000000"/>
                <w:kern w:val="0"/>
                <w:lang w:eastAsia="en-GB"/>
                <w14:ligatures w14:val="none"/>
              </w:rPr>
            </w:pPr>
          </w:p>
        </w:tc>
      </w:tr>
      <w:tr w:rsidR="00686F3A" w:rsidRPr="00BB79FA" w14:paraId="33C4D0EB" w14:textId="77777777" w:rsidTr="005E746E">
        <w:trPr>
          <w:trHeight w:val="276"/>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716969FB" w14:textId="52490E3A"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2</w:t>
            </w:r>
            <w:r w:rsidR="006F5A88" w:rsidRPr="00BB79FA">
              <w:rPr>
                <w:rFonts w:ascii="Arial" w:eastAsia="Arial" w:hAnsi="Arial" w:cs="Arial"/>
                <w:color w:val="000000"/>
                <w:kern w:val="0"/>
                <w:lang w:eastAsia="en-GB"/>
                <w14:ligatures w14:val="none"/>
              </w:rPr>
              <w:t>5</w:t>
            </w:r>
            <w:r w:rsidRPr="00BB79FA">
              <w:rPr>
                <w:rFonts w:ascii="Arial" w:eastAsia="Arial" w:hAnsi="Arial" w:cs="Arial"/>
                <w:color w:val="000000"/>
                <w:kern w:val="0"/>
                <w:lang w:eastAsia="en-GB"/>
                <w14:ligatures w14:val="none"/>
              </w:rPr>
              <w:t>2</w:t>
            </w:r>
          </w:p>
        </w:tc>
        <w:tc>
          <w:tcPr>
            <w:tcW w:w="7655" w:type="dxa"/>
            <w:tcBorders>
              <w:top w:val="nil"/>
              <w:left w:val="nil"/>
              <w:bottom w:val="single" w:sz="4" w:space="0" w:color="auto"/>
              <w:right w:val="single" w:sz="4" w:space="0" w:color="auto"/>
            </w:tcBorders>
            <w:shd w:val="clear" w:color="auto" w:fill="FFFFFF" w:themeFill="background1"/>
            <w:noWrap/>
            <w:hideMark/>
          </w:tcPr>
          <w:p w14:paraId="56B2EF8E" w14:textId="30880CDB" w:rsidR="00686F3A" w:rsidRPr="00BB79FA" w:rsidRDefault="00686F3A" w:rsidP="50F39694">
            <w:pPr>
              <w:spacing w:after="0" w:line="240" w:lineRule="auto"/>
              <w:rPr>
                <w:rFonts w:ascii="Arial" w:eastAsia="Arial" w:hAnsi="Arial" w:cs="Arial"/>
                <w:i/>
                <w:iCs/>
                <w:color w:val="000000" w:themeColor="text1"/>
                <w:u w:val="single"/>
                <w:lang w:eastAsia="en-GB"/>
              </w:rPr>
            </w:pPr>
            <w:r w:rsidRPr="00BB79FA">
              <w:rPr>
                <w:rFonts w:ascii="Arial" w:eastAsia="Arial" w:hAnsi="Arial" w:cs="Arial"/>
                <w:i/>
                <w:color w:val="000000"/>
                <w:kern w:val="0"/>
                <w:u w:val="single"/>
                <w:lang w:eastAsia="en-GB"/>
                <w14:ligatures w14:val="none"/>
              </w:rPr>
              <w:t xml:space="preserve">      of which: assigned a RW of 100% </w:t>
            </w:r>
          </w:p>
          <w:p w14:paraId="654ABCEF" w14:textId="383D0442" w:rsidR="00686F3A" w:rsidRPr="00BB79FA" w:rsidRDefault="00686F3A" w:rsidP="50F39694">
            <w:pPr>
              <w:spacing w:after="0" w:line="240" w:lineRule="auto"/>
              <w:rPr>
                <w:rFonts w:ascii="Arial" w:eastAsia="Arial" w:hAnsi="Arial" w:cs="Arial"/>
                <w:i/>
                <w:iCs/>
                <w:color w:val="000000" w:themeColor="text1"/>
                <w:lang w:eastAsia="en-GB"/>
              </w:rPr>
            </w:pPr>
          </w:p>
          <w:p w14:paraId="21291D98" w14:textId="55628B75" w:rsidR="00686F3A" w:rsidRPr="00BB79FA" w:rsidRDefault="4E7F873D" w:rsidP="50F39694">
            <w:pPr>
              <w:spacing w:after="0" w:line="240" w:lineRule="auto"/>
              <w:rPr>
                <w:rFonts w:ascii="Arial" w:eastAsia="Arial" w:hAnsi="Arial" w:cs="Arial"/>
                <w:i/>
                <w:iCs/>
                <w:color w:val="000000" w:themeColor="text1"/>
                <w:lang w:eastAsia="en-GB"/>
              </w:rPr>
            </w:pPr>
            <w:r w:rsidRPr="00BB79FA">
              <w:rPr>
                <w:rFonts w:ascii="Arial" w:eastAsia="Arial" w:hAnsi="Arial" w:cs="Arial"/>
                <w:i/>
                <w:iCs/>
                <w:color w:val="000000" w:themeColor="text1"/>
                <w:lang w:eastAsia="en-GB"/>
              </w:rPr>
              <w:t>Only project finance exposures that are</w:t>
            </w:r>
            <w:r w:rsidR="00CE0B11" w:rsidRPr="00BB79FA">
              <w:rPr>
                <w:rFonts w:ascii="Arial" w:eastAsia="Arial" w:hAnsi="Arial" w:cs="Arial"/>
                <w:i/>
                <w:iCs/>
                <w:color w:val="000000" w:themeColor="text1"/>
                <w:lang w:eastAsia="en-GB"/>
              </w:rPr>
              <w:t xml:space="preserve"> </w:t>
            </w:r>
            <w:r w:rsidRPr="00BB79FA">
              <w:rPr>
                <w:rFonts w:ascii="Arial" w:eastAsia="Arial" w:hAnsi="Arial" w:cs="Arial"/>
                <w:i/>
                <w:iCs/>
              </w:rPr>
              <w:t xml:space="preserve">assigned a risk weight of 100% under Article 122B(2)(c) of the Credit Risk: Standardised Approach (CRR) Part </w:t>
            </w:r>
            <w:r w:rsidRPr="00BB79FA">
              <w:rPr>
                <w:rFonts w:ascii="Arial" w:eastAsia="Arial" w:hAnsi="Arial" w:cs="Arial"/>
                <w:i/>
                <w:iCs/>
                <w:color w:val="000000" w:themeColor="text1"/>
                <w:lang w:eastAsia="en-GB"/>
              </w:rPr>
              <w:t>shall be reported here.</w:t>
            </w:r>
          </w:p>
          <w:p w14:paraId="7413B99E" w14:textId="0F6D0CB4" w:rsidR="00686F3A" w:rsidRPr="00BB79FA" w:rsidRDefault="00686F3A" w:rsidP="00686F3A">
            <w:pPr>
              <w:spacing w:after="0" w:line="240" w:lineRule="auto"/>
              <w:rPr>
                <w:rFonts w:ascii="Arial" w:eastAsia="Arial" w:hAnsi="Arial" w:cs="Arial"/>
                <w:i/>
                <w:color w:val="000000"/>
                <w:kern w:val="0"/>
                <w:lang w:eastAsia="en-GB"/>
                <w14:ligatures w14:val="none"/>
              </w:rPr>
            </w:pPr>
          </w:p>
        </w:tc>
      </w:tr>
      <w:tr w:rsidR="00686F3A" w:rsidRPr="00BB79FA" w14:paraId="0AE872A6" w14:textId="77777777" w:rsidTr="005E746E">
        <w:trPr>
          <w:trHeight w:val="276"/>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208F9E37" w14:textId="5AE6CB26"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2</w:t>
            </w:r>
            <w:r w:rsidR="006F5A88" w:rsidRPr="00BB79FA">
              <w:rPr>
                <w:rFonts w:ascii="Arial" w:eastAsia="Arial" w:hAnsi="Arial" w:cs="Arial"/>
                <w:color w:val="000000"/>
                <w:kern w:val="0"/>
                <w:lang w:eastAsia="en-GB"/>
                <w14:ligatures w14:val="none"/>
              </w:rPr>
              <w:t>5</w:t>
            </w:r>
            <w:r w:rsidRPr="00BB79FA">
              <w:rPr>
                <w:rFonts w:ascii="Arial" w:eastAsia="Arial" w:hAnsi="Arial" w:cs="Arial"/>
                <w:color w:val="000000"/>
                <w:kern w:val="0"/>
                <w:lang w:eastAsia="en-GB"/>
                <w14:ligatures w14:val="none"/>
              </w:rPr>
              <w:t>3</w:t>
            </w:r>
          </w:p>
        </w:tc>
        <w:tc>
          <w:tcPr>
            <w:tcW w:w="7655" w:type="dxa"/>
            <w:tcBorders>
              <w:top w:val="nil"/>
              <w:left w:val="nil"/>
              <w:bottom w:val="single" w:sz="4" w:space="0" w:color="auto"/>
              <w:right w:val="single" w:sz="4" w:space="0" w:color="auto"/>
            </w:tcBorders>
            <w:shd w:val="clear" w:color="auto" w:fill="FFFFFF" w:themeFill="background1"/>
            <w:noWrap/>
            <w:hideMark/>
          </w:tcPr>
          <w:p w14:paraId="524554A0" w14:textId="4970A9DF" w:rsidR="00686F3A" w:rsidRPr="00BB79FA" w:rsidRDefault="00686F3A" w:rsidP="50F39694">
            <w:pPr>
              <w:spacing w:after="0" w:line="240" w:lineRule="auto"/>
              <w:rPr>
                <w:rFonts w:ascii="Arial" w:eastAsia="Arial" w:hAnsi="Arial" w:cs="Arial"/>
                <w:i/>
                <w:iCs/>
                <w:color w:val="000000" w:themeColor="text1"/>
                <w:u w:val="single"/>
                <w:lang w:eastAsia="en-GB"/>
              </w:rPr>
            </w:pPr>
            <w:r w:rsidRPr="00BB79FA">
              <w:rPr>
                <w:rFonts w:ascii="Arial" w:eastAsia="Arial" w:hAnsi="Arial" w:cs="Arial"/>
                <w:i/>
                <w:color w:val="000000"/>
                <w:kern w:val="0"/>
                <w:u w:val="single"/>
                <w:lang w:eastAsia="en-GB"/>
                <w14:ligatures w14:val="none"/>
              </w:rPr>
              <w:t xml:space="preserve">      of which: assigned a RW of 130% </w:t>
            </w:r>
          </w:p>
          <w:p w14:paraId="6FA989A5" w14:textId="1C7B025B" w:rsidR="00686F3A" w:rsidRPr="00BB79FA" w:rsidRDefault="00686F3A" w:rsidP="50F39694">
            <w:pPr>
              <w:spacing w:after="0" w:line="240" w:lineRule="auto"/>
              <w:rPr>
                <w:rFonts w:ascii="Arial" w:eastAsia="Arial" w:hAnsi="Arial" w:cs="Arial"/>
                <w:i/>
                <w:iCs/>
                <w:color w:val="000000" w:themeColor="text1"/>
                <w:lang w:eastAsia="en-GB"/>
              </w:rPr>
            </w:pPr>
          </w:p>
          <w:p w14:paraId="32062AD3" w14:textId="70CFB7CB" w:rsidR="00686F3A" w:rsidRPr="00BB79FA" w:rsidRDefault="5EF2A648" w:rsidP="50F39694">
            <w:pPr>
              <w:spacing w:after="0" w:line="240" w:lineRule="auto"/>
              <w:rPr>
                <w:rFonts w:ascii="Arial" w:eastAsia="Arial" w:hAnsi="Arial" w:cs="Arial"/>
                <w:i/>
                <w:iCs/>
              </w:rPr>
            </w:pPr>
            <w:r w:rsidRPr="00BB79FA">
              <w:rPr>
                <w:rFonts w:ascii="Arial" w:eastAsia="Arial" w:hAnsi="Arial" w:cs="Arial"/>
                <w:i/>
                <w:iCs/>
                <w:color w:val="000000" w:themeColor="text1"/>
                <w:lang w:eastAsia="en-GB"/>
              </w:rPr>
              <w:t>Only project finance exposures that are</w:t>
            </w:r>
            <w:r w:rsidR="00CE0B11" w:rsidRPr="00BB79FA">
              <w:rPr>
                <w:rFonts w:ascii="Arial" w:eastAsia="Arial" w:hAnsi="Arial" w:cs="Arial"/>
                <w:i/>
                <w:iCs/>
                <w:color w:val="000000" w:themeColor="text1"/>
                <w:lang w:eastAsia="en-GB"/>
              </w:rPr>
              <w:t xml:space="preserve"> </w:t>
            </w:r>
            <w:r w:rsidRPr="00BB79FA">
              <w:rPr>
                <w:rFonts w:ascii="Arial" w:eastAsia="Arial" w:hAnsi="Arial" w:cs="Arial"/>
                <w:i/>
                <w:iCs/>
              </w:rPr>
              <w:t xml:space="preserve">assigned a risk weight of 130% under Article 122B(2)(c) of the Credit Risk: Standardised Approach (CRR) Part </w:t>
            </w:r>
            <w:r w:rsidRPr="00BB79FA">
              <w:rPr>
                <w:rFonts w:ascii="Arial" w:eastAsia="Arial" w:hAnsi="Arial" w:cs="Arial"/>
                <w:i/>
                <w:iCs/>
                <w:color w:val="000000" w:themeColor="text1"/>
                <w:lang w:eastAsia="en-GB"/>
              </w:rPr>
              <w:t>shall be reported here.</w:t>
            </w:r>
          </w:p>
          <w:p w14:paraId="40B56B76" w14:textId="207060C3" w:rsidR="00686F3A" w:rsidRPr="00BB79FA" w:rsidRDefault="00686F3A" w:rsidP="00686F3A">
            <w:pPr>
              <w:spacing w:after="0" w:line="240" w:lineRule="auto"/>
              <w:rPr>
                <w:rFonts w:ascii="Arial" w:eastAsia="Arial" w:hAnsi="Arial" w:cs="Arial"/>
                <w:i/>
                <w:color w:val="000000"/>
                <w:kern w:val="0"/>
                <w:lang w:eastAsia="en-GB"/>
                <w14:ligatures w14:val="none"/>
              </w:rPr>
            </w:pPr>
          </w:p>
        </w:tc>
      </w:tr>
      <w:tr w:rsidR="00686F3A" w:rsidRPr="00BB79FA" w14:paraId="757167BC" w14:textId="77777777" w:rsidTr="005E746E">
        <w:trPr>
          <w:trHeight w:val="276"/>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1283098C" w14:textId="16BDEA0D"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2</w:t>
            </w:r>
            <w:r w:rsidR="006F5A88" w:rsidRPr="00BB79FA">
              <w:rPr>
                <w:rFonts w:ascii="Arial" w:eastAsia="Arial" w:hAnsi="Arial" w:cs="Arial"/>
                <w:color w:val="000000"/>
                <w:kern w:val="0"/>
                <w:lang w:eastAsia="en-GB"/>
                <w14:ligatures w14:val="none"/>
              </w:rPr>
              <w:t>6</w:t>
            </w:r>
            <w:r w:rsidRPr="00BB79FA">
              <w:rPr>
                <w:rFonts w:ascii="Arial" w:eastAsia="Arial" w:hAnsi="Arial" w:cs="Arial"/>
                <w:color w:val="000000"/>
                <w:kern w:val="0"/>
                <w:lang w:eastAsia="en-GB"/>
                <w14:ligatures w14:val="none"/>
              </w:rPr>
              <w:t>0</w:t>
            </w:r>
          </w:p>
        </w:tc>
        <w:tc>
          <w:tcPr>
            <w:tcW w:w="7655" w:type="dxa"/>
            <w:tcBorders>
              <w:top w:val="nil"/>
              <w:left w:val="nil"/>
              <w:bottom w:val="single" w:sz="4" w:space="0" w:color="auto"/>
              <w:right w:val="single" w:sz="4" w:space="0" w:color="auto"/>
            </w:tcBorders>
            <w:shd w:val="clear" w:color="auto" w:fill="FFFFFF" w:themeFill="background1"/>
            <w:noWrap/>
            <w:hideMark/>
          </w:tcPr>
          <w:p w14:paraId="14AC9CAF" w14:textId="051B3C77" w:rsidR="00686F3A" w:rsidRPr="00BB79FA" w:rsidRDefault="00686F3A" w:rsidP="49C22080">
            <w:pPr>
              <w:spacing w:after="0" w:line="240" w:lineRule="auto"/>
              <w:rPr>
                <w:rFonts w:ascii="Arial" w:eastAsia="Arial" w:hAnsi="Arial" w:cs="Arial"/>
                <w:b/>
                <w:bCs/>
                <w:i/>
                <w:iCs/>
                <w:color w:val="000000" w:themeColor="text1"/>
                <w:lang w:eastAsia="en-GB"/>
              </w:rPr>
            </w:pPr>
            <w:r w:rsidRPr="00BB79FA">
              <w:rPr>
                <w:rFonts w:ascii="Arial" w:eastAsia="Arial" w:hAnsi="Arial" w:cs="Arial"/>
                <w:b/>
                <w:i/>
                <w:color w:val="000000"/>
                <w:kern w:val="0"/>
                <w:u w:val="single"/>
                <w:lang w:eastAsia="en-GB"/>
                <w14:ligatures w14:val="none"/>
              </w:rPr>
              <w:t xml:space="preserve">   of which: project finance exposures (rated)</w:t>
            </w:r>
          </w:p>
          <w:p w14:paraId="1A092DC0" w14:textId="64C1EC69" w:rsidR="00686F3A" w:rsidRPr="00BB79FA" w:rsidRDefault="00686F3A" w:rsidP="49C22080">
            <w:pPr>
              <w:spacing w:after="0" w:line="240" w:lineRule="auto"/>
              <w:rPr>
                <w:rFonts w:ascii="Arial" w:eastAsia="Arial" w:hAnsi="Arial" w:cs="Arial"/>
                <w:b/>
                <w:bCs/>
                <w:i/>
                <w:iCs/>
                <w:color w:val="000000" w:themeColor="text1"/>
                <w:u w:val="single"/>
                <w:lang w:eastAsia="en-GB"/>
              </w:rPr>
            </w:pPr>
          </w:p>
          <w:p w14:paraId="569893B8" w14:textId="1673CC70" w:rsidR="00686F3A" w:rsidRPr="00BB79FA" w:rsidRDefault="52C6FD2E" w:rsidP="49C22080">
            <w:pPr>
              <w:spacing w:after="0" w:line="240" w:lineRule="auto"/>
              <w:rPr>
                <w:rFonts w:ascii="Arial" w:eastAsia="Arial" w:hAnsi="Arial" w:cs="Arial"/>
                <w:i/>
                <w:iCs/>
                <w:color w:val="000000" w:themeColor="text1"/>
                <w:lang w:eastAsia="en-GB"/>
              </w:rPr>
            </w:pPr>
            <w:r w:rsidRPr="00BB79FA">
              <w:rPr>
                <w:rFonts w:ascii="Arial" w:eastAsia="Arial" w:hAnsi="Arial" w:cs="Arial"/>
                <w:i/>
                <w:iCs/>
                <w:color w:val="000000" w:themeColor="text1"/>
                <w:lang w:eastAsia="en-GB"/>
              </w:rPr>
              <w:t xml:space="preserve">Sub-total row of </w:t>
            </w:r>
            <w:r w:rsidR="770684EA" w:rsidRPr="00BB79FA">
              <w:rPr>
                <w:rFonts w:ascii="Arial" w:eastAsia="Arial" w:hAnsi="Arial" w:cs="Arial"/>
                <w:i/>
                <w:iCs/>
                <w:color w:val="000000" w:themeColor="text1"/>
                <w:lang w:eastAsia="en-GB"/>
              </w:rPr>
              <w:t xml:space="preserve">following </w:t>
            </w:r>
            <w:r w:rsidRPr="00BB79FA">
              <w:rPr>
                <w:rFonts w:ascii="Arial" w:eastAsia="Arial" w:hAnsi="Arial" w:cs="Arial"/>
                <w:i/>
                <w:iCs/>
                <w:color w:val="000000" w:themeColor="text1"/>
                <w:lang w:eastAsia="en-GB"/>
              </w:rPr>
              <w:t>rows</w:t>
            </w:r>
            <w:r w:rsidR="3245B19F" w:rsidRPr="00BB79FA">
              <w:rPr>
                <w:rFonts w:ascii="Arial" w:eastAsia="Arial" w:hAnsi="Arial" w:cs="Arial"/>
                <w:i/>
                <w:iCs/>
                <w:color w:val="000000" w:themeColor="text1"/>
                <w:lang w:eastAsia="en-GB"/>
              </w:rPr>
              <w:t>:</w:t>
            </w:r>
            <w:r w:rsidRPr="00BB79FA">
              <w:rPr>
                <w:rFonts w:ascii="Arial" w:eastAsia="Arial" w:hAnsi="Arial" w:cs="Arial"/>
                <w:i/>
                <w:iCs/>
                <w:color w:val="000000" w:themeColor="text1"/>
                <w:lang w:eastAsia="en-GB"/>
              </w:rPr>
              <w:t xml:space="preserve"> 2</w:t>
            </w:r>
            <w:r w:rsidR="00BE6216" w:rsidRPr="00BB79FA">
              <w:rPr>
                <w:rFonts w:ascii="Arial" w:eastAsia="Arial" w:hAnsi="Arial" w:cs="Arial"/>
                <w:i/>
                <w:iCs/>
                <w:color w:val="000000" w:themeColor="text1"/>
                <w:lang w:eastAsia="en-GB"/>
              </w:rPr>
              <w:t>6</w:t>
            </w:r>
            <w:r w:rsidRPr="00BB79FA">
              <w:rPr>
                <w:rFonts w:ascii="Arial" w:eastAsia="Arial" w:hAnsi="Arial" w:cs="Arial"/>
                <w:i/>
                <w:iCs/>
                <w:color w:val="000000" w:themeColor="text1"/>
                <w:lang w:eastAsia="en-GB"/>
              </w:rPr>
              <w:t>1, 2</w:t>
            </w:r>
            <w:r w:rsidR="00BE6216" w:rsidRPr="00BB79FA">
              <w:rPr>
                <w:rFonts w:ascii="Arial" w:eastAsia="Arial" w:hAnsi="Arial" w:cs="Arial"/>
                <w:i/>
                <w:iCs/>
                <w:color w:val="000000" w:themeColor="text1"/>
                <w:lang w:eastAsia="en-GB"/>
              </w:rPr>
              <w:t>6</w:t>
            </w:r>
            <w:r w:rsidRPr="00BB79FA">
              <w:rPr>
                <w:rFonts w:ascii="Arial" w:eastAsia="Arial" w:hAnsi="Arial" w:cs="Arial"/>
                <w:i/>
                <w:iCs/>
                <w:color w:val="000000" w:themeColor="text1"/>
                <w:lang w:eastAsia="en-GB"/>
              </w:rPr>
              <w:t>2</w:t>
            </w:r>
            <w:r w:rsidR="44B6DA51" w:rsidRPr="00BB79FA">
              <w:rPr>
                <w:rFonts w:ascii="Arial" w:eastAsia="Arial" w:hAnsi="Arial" w:cs="Arial"/>
                <w:i/>
                <w:iCs/>
                <w:color w:val="000000" w:themeColor="text1"/>
                <w:lang w:eastAsia="en-GB"/>
              </w:rPr>
              <w:t>, 2</w:t>
            </w:r>
            <w:r w:rsidR="00BE6216" w:rsidRPr="00BB79FA">
              <w:rPr>
                <w:rFonts w:ascii="Arial" w:eastAsia="Arial" w:hAnsi="Arial" w:cs="Arial"/>
                <w:i/>
                <w:iCs/>
                <w:color w:val="000000" w:themeColor="text1"/>
                <w:lang w:eastAsia="en-GB"/>
              </w:rPr>
              <w:t>6</w:t>
            </w:r>
            <w:r w:rsidR="44B6DA51" w:rsidRPr="00BB79FA">
              <w:rPr>
                <w:rFonts w:ascii="Arial" w:eastAsia="Arial" w:hAnsi="Arial" w:cs="Arial"/>
                <w:i/>
                <w:iCs/>
                <w:color w:val="000000" w:themeColor="text1"/>
                <w:lang w:eastAsia="en-GB"/>
              </w:rPr>
              <w:t>3; 2</w:t>
            </w:r>
            <w:r w:rsidR="00BE6216" w:rsidRPr="00BB79FA">
              <w:rPr>
                <w:rFonts w:ascii="Arial" w:eastAsia="Arial" w:hAnsi="Arial" w:cs="Arial"/>
                <w:i/>
                <w:iCs/>
                <w:color w:val="000000" w:themeColor="text1"/>
                <w:lang w:eastAsia="en-GB"/>
              </w:rPr>
              <w:t>6</w:t>
            </w:r>
            <w:r w:rsidR="44B6DA51" w:rsidRPr="00BB79FA">
              <w:rPr>
                <w:rFonts w:ascii="Arial" w:eastAsia="Arial" w:hAnsi="Arial" w:cs="Arial"/>
                <w:i/>
                <w:iCs/>
                <w:color w:val="000000" w:themeColor="text1"/>
                <w:lang w:eastAsia="en-GB"/>
              </w:rPr>
              <w:t>4; and 2</w:t>
            </w:r>
            <w:r w:rsidR="00BE6216" w:rsidRPr="00BB79FA">
              <w:rPr>
                <w:rFonts w:ascii="Arial" w:eastAsia="Arial" w:hAnsi="Arial" w:cs="Arial"/>
                <w:i/>
                <w:iCs/>
                <w:color w:val="000000" w:themeColor="text1"/>
                <w:lang w:eastAsia="en-GB"/>
              </w:rPr>
              <w:t>6</w:t>
            </w:r>
            <w:r w:rsidR="44B6DA51" w:rsidRPr="00BB79FA">
              <w:rPr>
                <w:rFonts w:ascii="Arial" w:eastAsia="Arial" w:hAnsi="Arial" w:cs="Arial"/>
                <w:i/>
                <w:iCs/>
                <w:color w:val="000000" w:themeColor="text1"/>
                <w:lang w:eastAsia="en-GB"/>
              </w:rPr>
              <w:t>5</w:t>
            </w:r>
            <w:r w:rsidRPr="00BB79FA">
              <w:rPr>
                <w:rFonts w:ascii="Arial" w:eastAsia="Arial" w:hAnsi="Arial" w:cs="Arial"/>
                <w:i/>
                <w:iCs/>
                <w:color w:val="000000" w:themeColor="text1"/>
                <w:lang w:eastAsia="en-GB"/>
              </w:rPr>
              <w:t>.</w:t>
            </w:r>
          </w:p>
          <w:p w14:paraId="0B8E5266" w14:textId="77777777" w:rsidR="00412BF9" w:rsidRPr="00BB79FA" w:rsidRDefault="00412BF9" w:rsidP="49C22080">
            <w:pPr>
              <w:spacing w:after="0" w:line="240" w:lineRule="auto"/>
              <w:rPr>
                <w:rFonts w:ascii="Arial" w:eastAsia="Arial" w:hAnsi="Arial" w:cs="Arial"/>
                <w:i/>
                <w:iCs/>
                <w:color w:val="000000" w:themeColor="text1"/>
                <w:lang w:eastAsia="en-GB"/>
              </w:rPr>
            </w:pPr>
          </w:p>
          <w:p w14:paraId="471DA851" w14:textId="77777777" w:rsidR="00412BF9" w:rsidRPr="00BB79FA" w:rsidRDefault="00412BF9" w:rsidP="00412BF9">
            <w:pPr>
              <w:spacing w:after="0" w:line="240" w:lineRule="auto"/>
              <w:rPr>
                <w:rFonts w:ascii="Arial" w:eastAsia="Arial" w:hAnsi="Arial" w:cs="Arial"/>
                <w:i/>
                <w:color w:val="000000" w:themeColor="text1"/>
                <w:lang w:eastAsia="en-GB"/>
              </w:rPr>
            </w:pPr>
            <w:r w:rsidRPr="00BB79FA">
              <w:rPr>
                <w:rFonts w:ascii="Arial" w:eastAsia="Arial" w:hAnsi="Arial" w:cs="Arial"/>
                <w:i/>
                <w:iCs/>
                <w:color w:val="000000" w:themeColor="text1"/>
                <w:lang w:eastAsia="en-GB"/>
              </w:rPr>
              <w:t>This row will be calculated by a formula, firms do not need to report here.</w:t>
            </w:r>
          </w:p>
          <w:p w14:paraId="4811FF06" w14:textId="15DE547C" w:rsidR="00686F3A" w:rsidRPr="00BB79FA" w:rsidRDefault="00686F3A" w:rsidP="00412BF9">
            <w:pPr>
              <w:spacing w:after="0" w:line="240" w:lineRule="auto"/>
              <w:rPr>
                <w:rFonts w:ascii="Arial" w:eastAsia="Arial" w:hAnsi="Arial" w:cs="Arial"/>
                <w:b/>
                <w:i/>
                <w:color w:val="000000"/>
                <w:kern w:val="0"/>
                <w:u w:val="single"/>
                <w:lang w:eastAsia="en-GB"/>
                <w14:ligatures w14:val="none"/>
              </w:rPr>
            </w:pPr>
          </w:p>
        </w:tc>
      </w:tr>
      <w:tr w:rsidR="00686F3A" w:rsidRPr="00BB79FA" w14:paraId="5FA9AF57" w14:textId="77777777" w:rsidTr="005E746E">
        <w:trPr>
          <w:trHeight w:val="276"/>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1AA5A058" w14:textId="24DE375F"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2</w:t>
            </w:r>
            <w:r w:rsidR="006F5A88" w:rsidRPr="00BB79FA">
              <w:rPr>
                <w:rFonts w:ascii="Arial" w:eastAsia="Arial" w:hAnsi="Arial" w:cs="Arial"/>
                <w:color w:val="000000"/>
                <w:kern w:val="0"/>
                <w:lang w:eastAsia="en-GB"/>
                <w14:ligatures w14:val="none"/>
              </w:rPr>
              <w:t>6</w:t>
            </w:r>
            <w:r w:rsidRPr="00BB79FA">
              <w:rPr>
                <w:rFonts w:ascii="Arial" w:eastAsia="Arial" w:hAnsi="Arial" w:cs="Arial"/>
                <w:color w:val="000000"/>
                <w:kern w:val="0"/>
                <w:lang w:eastAsia="en-GB"/>
                <w14:ligatures w14:val="none"/>
              </w:rPr>
              <w:t>1</w:t>
            </w:r>
          </w:p>
        </w:tc>
        <w:tc>
          <w:tcPr>
            <w:tcW w:w="7655" w:type="dxa"/>
            <w:tcBorders>
              <w:top w:val="nil"/>
              <w:left w:val="nil"/>
              <w:bottom w:val="single" w:sz="4" w:space="0" w:color="auto"/>
              <w:right w:val="single" w:sz="4" w:space="0" w:color="auto"/>
            </w:tcBorders>
            <w:shd w:val="clear" w:color="auto" w:fill="FFFFFF" w:themeFill="background1"/>
            <w:noWrap/>
            <w:hideMark/>
          </w:tcPr>
          <w:p w14:paraId="61EBD51F" w14:textId="7F13F661" w:rsidR="00686F3A" w:rsidRPr="00BB79FA" w:rsidRDefault="00686F3A" w:rsidP="2D90855B">
            <w:pPr>
              <w:spacing w:after="0" w:line="240" w:lineRule="auto"/>
              <w:rPr>
                <w:rFonts w:ascii="Arial" w:eastAsia="Arial" w:hAnsi="Arial" w:cs="Arial"/>
                <w:i/>
                <w:iCs/>
                <w:color w:val="000000" w:themeColor="text1"/>
                <w:lang w:eastAsia="en-GB"/>
              </w:rPr>
            </w:pPr>
            <w:r w:rsidRPr="00BB79FA">
              <w:rPr>
                <w:rFonts w:ascii="Arial" w:eastAsia="Arial" w:hAnsi="Arial" w:cs="Arial"/>
                <w:i/>
                <w:color w:val="000000"/>
                <w:kern w:val="0"/>
                <w:lang w:eastAsia="en-GB"/>
                <w14:ligatures w14:val="none"/>
              </w:rPr>
              <w:t xml:space="preserve"> </w:t>
            </w:r>
            <w:r w:rsidRPr="00BB79FA">
              <w:rPr>
                <w:rFonts w:ascii="Arial" w:eastAsia="Arial" w:hAnsi="Arial" w:cs="Arial"/>
                <w:i/>
                <w:color w:val="000000"/>
                <w:kern w:val="0"/>
                <w:u w:val="single"/>
                <w:lang w:eastAsia="en-GB"/>
                <w14:ligatures w14:val="none"/>
              </w:rPr>
              <w:t xml:space="preserve">     of which: assigned a RW of 20%</w:t>
            </w:r>
            <w:r w:rsidRPr="00BB79FA">
              <w:rPr>
                <w:rFonts w:ascii="Arial" w:eastAsia="Arial" w:hAnsi="Arial" w:cs="Arial"/>
                <w:i/>
                <w:color w:val="000000"/>
                <w:kern w:val="0"/>
                <w:lang w:eastAsia="en-GB"/>
                <w14:ligatures w14:val="none"/>
              </w:rPr>
              <w:t xml:space="preserve"> </w:t>
            </w:r>
          </w:p>
          <w:p w14:paraId="65897ED7" w14:textId="0A4F50F3" w:rsidR="00686F3A" w:rsidRPr="00BB79FA" w:rsidRDefault="00686F3A" w:rsidP="2D90855B">
            <w:pPr>
              <w:spacing w:after="0" w:line="240" w:lineRule="auto"/>
              <w:rPr>
                <w:rFonts w:ascii="Arial" w:eastAsia="Arial" w:hAnsi="Arial" w:cs="Arial"/>
                <w:i/>
                <w:iCs/>
                <w:color w:val="000000" w:themeColor="text1"/>
                <w:lang w:eastAsia="en-GB"/>
              </w:rPr>
            </w:pPr>
          </w:p>
          <w:p w14:paraId="6C9A3CCF" w14:textId="6D6409FB" w:rsidR="00686F3A" w:rsidRPr="00BB79FA" w:rsidRDefault="3E69A5CC" w:rsidP="17FF8CEE">
            <w:pPr>
              <w:spacing w:after="0" w:line="240" w:lineRule="auto"/>
              <w:rPr>
                <w:rFonts w:ascii="Arial" w:eastAsia="Arial" w:hAnsi="Arial" w:cs="Arial"/>
                <w:i/>
                <w:iCs/>
                <w:color w:val="000000" w:themeColor="text1"/>
                <w:lang w:eastAsia="en-GB"/>
              </w:rPr>
            </w:pPr>
            <w:r w:rsidRPr="00BB79FA">
              <w:rPr>
                <w:rFonts w:ascii="Arial" w:eastAsia="Arial" w:hAnsi="Arial" w:cs="Arial"/>
                <w:i/>
                <w:iCs/>
                <w:color w:val="000000" w:themeColor="text1"/>
                <w:lang w:eastAsia="en-GB"/>
              </w:rPr>
              <w:t>Only project finance exposures that are</w:t>
            </w:r>
            <w:r w:rsidR="00CE0B11" w:rsidRPr="00BB79FA">
              <w:rPr>
                <w:rFonts w:ascii="Arial" w:eastAsia="Arial" w:hAnsi="Arial" w:cs="Arial"/>
                <w:i/>
                <w:iCs/>
                <w:color w:val="000000" w:themeColor="text1"/>
                <w:lang w:eastAsia="en-GB"/>
              </w:rPr>
              <w:t xml:space="preserve"> </w:t>
            </w:r>
            <w:r w:rsidR="00CE0B11" w:rsidRPr="00BB79FA">
              <w:rPr>
                <w:rFonts w:ascii="Arial" w:eastAsia="Arial" w:hAnsi="Arial" w:cs="Arial"/>
                <w:i/>
                <w:iCs/>
              </w:rPr>
              <w:t>a</w:t>
            </w:r>
            <w:r w:rsidRPr="00BB79FA">
              <w:rPr>
                <w:rFonts w:ascii="Arial" w:eastAsia="Arial" w:hAnsi="Arial" w:cs="Arial"/>
                <w:i/>
                <w:iCs/>
              </w:rPr>
              <w:t>ssigned a risk weight of 20% under Article 122B(1) of the Credit Risk: Standardised Approach (CRR) Part shall be reported here.</w:t>
            </w:r>
          </w:p>
          <w:p w14:paraId="5F050BFC" w14:textId="1697583D" w:rsidR="00686F3A" w:rsidRPr="00BB79FA" w:rsidRDefault="00686F3A" w:rsidP="00686F3A">
            <w:pPr>
              <w:spacing w:after="0" w:line="240" w:lineRule="auto"/>
              <w:rPr>
                <w:rFonts w:ascii="Arial" w:eastAsia="Arial" w:hAnsi="Arial" w:cs="Arial"/>
                <w:i/>
                <w:color w:val="000000"/>
                <w:kern w:val="0"/>
                <w:lang w:eastAsia="en-GB"/>
                <w14:ligatures w14:val="none"/>
              </w:rPr>
            </w:pPr>
          </w:p>
        </w:tc>
      </w:tr>
      <w:tr w:rsidR="00686F3A" w:rsidRPr="00BB79FA" w14:paraId="02AEE4D6" w14:textId="77777777" w:rsidTr="005E746E">
        <w:trPr>
          <w:trHeight w:val="276"/>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0BB892EC" w14:textId="3CF60371"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lastRenderedPageBreak/>
              <w:t>2</w:t>
            </w:r>
            <w:r w:rsidR="006F5A88" w:rsidRPr="00BB79FA">
              <w:rPr>
                <w:rFonts w:ascii="Arial" w:eastAsia="Arial" w:hAnsi="Arial" w:cs="Arial"/>
                <w:color w:val="000000"/>
                <w:kern w:val="0"/>
                <w:lang w:eastAsia="en-GB"/>
                <w14:ligatures w14:val="none"/>
              </w:rPr>
              <w:t>6</w:t>
            </w:r>
            <w:r w:rsidRPr="00BB79FA">
              <w:rPr>
                <w:rFonts w:ascii="Arial" w:eastAsia="Arial" w:hAnsi="Arial" w:cs="Arial"/>
                <w:color w:val="000000"/>
                <w:kern w:val="0"/>
                <w:lang w:eastAsia="en-GB"/>
                <w14:ligatures w14:val="none"/>
              </w:rPr>
              <w:t>2</w:t>
            </w:r>
          </w:p>
        </w:tc>
        <w:tc>
          <w:tcPr>
            <w:tcW w:w="7655" w:type="dxa"/>
            <w:tcBorders>
              <w:top w:val="nil"/>
              <w:left w:val="nil"/>
              <w:bottom w:val="single" w:sz="4" w:space="0" w:color="auto"/>
              <w:right w:val="single" w:sz="4" w:space="0" w:color="auto"/>
            </w:tcBorders>
            <w:shd w:val="clear" w:color="auto" w:fill="FFFFFF" w:themeFill="background1"/>
            <w:noWrap/>
            <w:hideMark/>
          </w:tcPr>
          <w:p w14:paraId="063571BA" w14:textId="77777777" w:rsidR="00686F3A" w:rsidRPr="00BB79FA" w:rsidRDefault="00686F3A" w:rsidP="17FF8CEE">
            <w:pPr>
              <w:spacing w:after="0" w:line="240" w:lineRule="auto"/>
              <w:rPr>
                <w:rFonts w:ascii="Arial" w:eastAsia="Arial" w:hAnsi="Arial" w:cs="Arial"/>
                <w:i/>
                <w:color w:val="000000" w:themeColor="text1"/>
                <w:u w:val="single"/>
                <w:lang w:eastAsia="en-GB"/>
              </w:rPr>
            </w:pPr>
            <w:r w:rsidRPr="00BB79FA">
              <w:rPr>
                <w:rFonts w:ascii="Arial" w:eastAsia="Arial" w:hAnsi="Arial" w:cs="Arial"/>
                <w:i/>
                <w:color w:val="000000"/>
                <w:kern w:val="0"/>
                <w:u w:val="single"/>
                <w:lang w:eastAsia="en-GB"/>
                <w14:ligatures w14:val="none"/>
              </w:rPr>
              <w:t xml:space="preserve">      of which: assigned a RW of 50% </w:t>
            </w:r>
          </w:p>
          <w:p w14:paraId="05ACD422" w14:textId="24972AD8" w:rsidR="00686F3A" w:rsidRPr="00BB79FA" w:rsidRDefault="00686F3A" w:rsidP="17FF8CEE">
            <w:pPr>
              <w:spacing w:after="0" w:line="240" w:lineRule="auto"/>
              <w:rPr>
                <w:rFonts w:ascii="Arial" w:eastAsia="Arial" w:hAnsi="Arial" w:cs="Arial"/>
                <w:i/>
                <w:iCs/>
                <w:color w:val="000000" w:themeColor="text1"/>
                <w:lang w:eastAsia="en-GB"/>
              </w:rPr>
            </w:pPr>
          </w:p>
          <w:p w14:paraId="62C42E74" w14:textId="42E4AC8F" w:rsidR="00686F3A" w:rsidRPr="00BB79FA" w:rsidRDefault="06DDB4E8" w:rsidP="17FF8CEE">
            <w:pPr>
              <w:spacing w:after="0" w:line="240" w:lineRule="auto"/>
              <w:rPr>
                <w:rFonts w:ascii="Arial" w:eastAsia="Arial" w:hAnsi="Arial" w:cs="Arial"/>
                <w:i/>
                <w:iCs/>
              </w:rPr>
            </w:pPr>
            <w:r w:rsidRPr="00BB79FA">
              <w:rPr>
                <w:rFonts w:ascii="Arial" w:eastAsia="Arial" w:hAnsi="Arial" w:cs="Arial"/>
                <w:i/>
                <w:iCs/>
                <w:color w:val="000000" w:themeColor="text1"/>
                <w:lang w:eastAsia="en-GB"/>
              </w:rPr>
              <w:t>Only project finance exposures that are</w:t>
            </w:r>
            <w:r w:rsidR="00CE0B11" w:rsidRPr="00BB79FA">
              <w:rPr>
                <w:rFonts w:ascii="Arial" w:eastAsia="Arial" w:hAnsi="Arial" w:cs="Arial"/>
                <w:i/>
                <w:iCs/>
                <w:color w:val="000000" w:themeColor="text1"/>
                <w:lang w:eastAsia="en-GB"/>
              </w:rPr>
              <w:t xml:space="preserve"> </w:t>
            </w:r>
            <w:r w:rsidRPr="00BB79FA">
              <w:rPr>
                <w:rFonts w:ascii="Arial" w:eastAsia="Arial" w:hAnsi="Arial" w:cs="Arial"/>
                <w:i/>
                <w:iCs/>
              </w:rPr>
              <w:t xml:space="preserve">assigned a risk weight of </w:t>
            </w:r>
            <w:r w:rsidR="3137A0C0" w:rsidRPr="00BB79FA">
              <w:rPr>
                <w:rFonts w:ascii="Arial" w:eastAsia="Arial" w:hAnsi="Arial" w:cs="Arial"/>
                <w:i/>
                <w:iCs/>
              </w:rPr>
              <w:t>5</w:t>
            </w:r>
            <w:r w:rsidRPr="00BB79FA">
              <w:rPr>
                <w:rFonts w:ascii="Arial" w:eastAsia="Arial" w:hAnsi="Arial" w:cs="Arial"/>
                <w:i/>
                <w:iCs/>
              </w:rPr>
              <w:t>0% under Article 122B(1) of the Credit Risk: Standardised Approach (CRR) Part shall be reported here.</w:t>
            </w:r>
          </w:p>
          <w:p w14:paraId="42E913F1" w14:textId="19071300" w:rsidR="00686F3A" w:rsidRPr="00BB79FA" w:rsidRDefault="00686F3A" w:rsidP="00686F3A">
            <w:pPr>
              <w:spacing w:after="0" w:line="240" w:lineRule="auto"/>
              <w:rPr>
                <w:rFonts w:ascii="Arial" w:eastAsia="Arial" w:hAnsi="Arial" w:cs="Arial"/>
                <w:i/>
                <w:color w:val="000000"/>
                <w:kern w:val="0"/>
                <w:lang w:eastAsia="en-GB"/>
                <w14:ligatures w14:val="none"/>
              </w:rPr>
            </w:pPr>
          </w:p>
        </w:tc>
      </w:tr>
      <w:tr w:rsidR="00686F3A" w:rsidRPr="00BB79FA" w14:paraId="1964BBFD" w14:textId="77777777" w:rsidTr="005E746E">
        <w:trPr>
          <w:trHeight w:val="276"/>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0A8DA8E2" w14:textId="44EEDE77"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2</w:t>
            </w:r>
            <w:r w:rsidR="006F5A88" w:rsidRPr="00BB79FA">
              <w:rPr>
                <w:rFonts w:ascii="Arial" w:eastAsia="Arial" w:hAnsi="Arial" w:cs="Arial"/>
                <w:color w:val="000000"/>
                <w:kern w:val="0"/>
                <w:lang w:eastAsia="en-GB"/>
                <w14:ligatures w14:val="none"/>
              </w:rPr>
              <w:t>6</w:t>
            </w:r>
            <w:r w:rsidRPr="00BB79FA">
              <w:rPr>
                <w:rFonts w:ascii="Arial" w:eastAsia="Arial" w:hAnsi="Arial" w:cs="Arial"/>
                <w:color w:val="000000"/>
                <w:kern w:val="0"/>
                <w:lang w:eastAsia="en-GB"/>
                <w14:ligatures w14:val="none"/>
              </w:rPr>
              <w:t>3</w:t>
            </w:r>
          </w:p>
        </w:tc>
        <w:tc>
          <w:tcPr>
            <w:tcW w:w="7655" w:type="dxa"/>
            <w:tcBorders>
              <w:top w:val="nil"/>
              <w:left w:val="nil"/>
              <w:bottom w:val="single" w:sz="4" w:space="0" w:color="auto"/>
              <w:right w:val="single" w:sz="4" w:space="0" w:color="auto"/>
            </w:tcBorders>
            <w:shd w:val="clear" w:color="auto" w:fill="FFFFFF" w:themeFill="background1"/>
            <w:noWrap/>
            <w:hideMark/>
          </w:tcPr>
          <w:p w14:paraId="2C4215BE" w14:textId="4226A214" w:rsidR="00686F3A" w:rsidRPr="00BB79FA" w:rsidRDefault="00686F3A" w:rsidP="3A4AE8D3">
            <w:pPr>
              <w:spacing w:after="0" w:line="240" w:lineRule="auto"/>
              <w:rPr>
                <w:rFonts w:ascii="Arial" w:eastAsia="Arial" w:hAnsi="Arial" w:cs="Arial"/>
                <w:i/>
                <w:iCs/>
                <w:color w:val="000000" w:themeColor="text1"/>
                <w:lang w:eastAsia="en-GB"/>
              </w:rPr>
            </w:pPr>
            <w:r w:rsidRPr="00BB79FA">
              <w:rPr>
                <w:rFonts w:ascii="Arial" w:eastAsia="Arial" w:hAnsi="Arial" w:cs="Arial"/>
                <w:i/>
                <w:color w:val="000000"/>
                <w:kern w:val="0"/>
                <w:lang w:eastAsia="en-GB"/>
                <w14:ligatures w14:val="none"/>
              </w:rPr>
              <w:t xml:space="preserve"> </w:t>
            </w:r>
            <w:r w:rsidRPr="00BB79FA">
              <w:rPr>
                <w:rFonts w:ascii="Arial" w:eastAsia="Arial" w:hAnsi="Arial" w:cs="Arial"/>
                <w:i/>
                <w:color w:val="000000"/>
                <w:kern w:val="0"/>
                <w:u w:val="single"/>
                <w:lang w:eastAsia="en-GB"/>
                <w14:ligatures w14:val="none"/>
              </w:rPr>
              <w:t xml:space="preserve">     of which: assigned a RW of 75%</w:t>
            </w:r>
          </w:p>
          <w:p w14:paraId="5EF09DB5" w14:textId="5C93D61E" w:rsidR="00686F3A" w:rsidRPr="00BB79FA" w:rsidRDefault="00686F3A" w:rsidP="3A4AE8D3">
            <w:pPr>
              <w:spacing w:after="0" w:line="240" w:lineRule="auto"/>
              <w:rPr>
                <w:rFonts w:ascii="Arial" w:eastAsia="Arial" w:hAnsi="Arial" w:cs="Arial"/>
                <w:i/>
                <w:iCs/>
                <w:color w:val="000000" w:themeColor="text1"/>
                <w:lang w:eastAsia="en-GB"/>
              </w:rPr>
            </w:pPr>
          </w:p>
          <w:p w14:paraId="7E1972EF" w14:textId="098243E3" w:rsidR="00686F3A" w:rsidRPr="00BB79FA" w:rsidRDefault="0C152416" w:rsidP="3A4AE8D3">
            <w:pPr>
              <w:spacing w:after="0" w:line="240" w:lineRule="auto"/>
              <w:rPr>
                <w:rFonts w:ascii="Arial" w:eastAsia="Arial" w:hAnsi="Arial" w:cs="Arial"/>
                <w:i/>
                <w:iCs/>
              </w:rPr>
            </w:pPr>
            <w:r w:rsidRPr="00BB79FA">
              <w:rPr>
                <w:rFonts w:ascii="Arial" w:eastAsia="Arial" w:hAnsi="Arial" w:cs="Arial"/>
                <w:i/>
                <w:iCs/>
                <w:color w:val="000000" w:themeColor="text1"/>
                <w:lang w:eastAsia="en-GB"/>
              </w:rPr>
              <w:t>Only project finance exposures that are</w:t>
            </w:r>
            <w:r w:rsidR="00923516" w:rsidRPr="00BB79FA">
              <w:rPr>
                <w:rFonts w:ascii="Arial" w:eastAsia="Arial" w:hAnsi="Arial" w:cs="Arial"/>
                <w:i/>
                <w:iCs/>
                <w:color w:val="000000" w:themeColor="text1"/>
                <w:lang w:eastAsia="en-GB"/>
              </w:rPr>
              <w:t xml:space="preserve"> </w:t>
            </w:r>
            <w:r w:rsidRPr="00BB79FA">
              <w:rPr>
                <w:rFonts w:ascii="Arial" w:eastAsia="Arial" w:hAnsi="Arial" w:cs="Arial"/>
                <w:i/>
                <w:iCs/>
              </w:rPr>
              <w:t>assigned a risk weight of 75% under Article 122B(1) of the Credit Risk: Standardised Approach (CRR) Part shall be reported here.</w:t>
            </w:r>
          </w:p>
          <w:p w14:paraId="77948FFC" w14:textId="77777777" w:rsidR="00686F3A" w:rsidRPr="00BB79FA" w:rsidRDefault="00686F3A" w:rsidP="00686F3A">
            <w:pPr>
              <w:spacing w:after="0" w:line="240" w:lineRule="auto"/>
              <w:rPr>
                <w:rFonts w:ascii="Arial" w:eastAsia="Arial" w:hAnsi="Arial" w:cs="Arial"/>
                <w:i/>
                <w:color w:val="000000"/>
                <w:kern w:val="0"/>
                <w:lang w:eastAsia="en-GB"/>
                <w14:ligatures w14:val="none"/>
              </w:rPr>
            </w:pPr>
            <w:r w:rsidRPr="00BB79FA">
              <w:rPr>
                <w:rFonts w:ascii="Arial" w:eastAsia="Arial" w:hAnsi="Arial" w:cs="Arial"/>
                <w:i/>
                <w:color w:val="000000"/>
                <w:kern w:val="0"/>
                <w:lang w:eastAsia="en-GB"/>
                <w14:ligatures w14:val="none"/>
              </w:rPr>
              <w:t xml:space="preserve"> </w:t>
            </w:r>
          </w:p>
        </w:tc>
      </w:tr>
      <w:tr w:rsidR="00686F3A" w:rsidRPr="00BB79FA" w14:paraId="7F8B33B2" w14:textId="77777777" w:rsidTr="005E746E">
        <w:trPr>
          <w:trHeight w:val="276"/>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488C906F" w14:textId="650B5772"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2</w:t>
            </w:r>
            <w:r w:rsidR="006F5A88" w:rsidRPr="00BB79FA">
              <w:rPr>
                <w:rFonts w:ascii="Arial" w:eastAsia="Arial" w:hAnsi="Arial" w:cs="Arial"/>
                <w:color w:val="000000"/>
                <w:kern w:val="0"/>
                <w:lang w:eastAsia="en-GB"/>
                <w14:ligatures w14:val="none"/>
              </w:rPr>
              <w:t>6</w:t>
            </w:r>
            <w:r w:rsidRPr="00BB79FA">
              <w:rPr>
                <w:rFonts w:ascii="Arial" w:eastAsia="Arial" w:hAnsi="Arial" w:cs="Arial"/>
                <w:color w:val="000000"/>
                <w:kern w:val="0"/>
                <w:lang w:eastAsia="en-GB"/>
                <w14:ligatures w14:val="none"/>
              </w:rPr>
              <w:t>4</w:t>
            </w:r>
          </w:p>
        </w:tc>
        <w:tc>
          <w:tcPr>
            <w:tcW w:w="7655" w:type="dxa"/>
            <w:tcBorders>
              <w:top w:val="nil"/>
              <w:left w:val="nil"/>
              <w:bottom w:val="single" w:sz="4" w:space="0" w:color="auto"/>
              <w:right w:val="single" w:sz="4" w:space="0" w:color="auto"/>
            </w:tcBorders>
            <w:shd w:val="clear" w:color="auto" w:fill="FFFFFF" w:themeFill="background1"/>
            <w:noWrap/>
            <w:hideMark/>
          </w:tcPr>
          <w:p w14:paraId="2732150C" w14:textId="77777777" w:rsidR="00686F3A" w:rsidRPr="00BB79FA" w:rsidRDefault="00686F3A" w:rsidP="3A4AE8D3">
            <w:pPr>
              <w:spacing w:after="0" w:line="240" w:lineRule="auto"/>
              <w:rPr>
                <w:rFonts w:ascii="Arial" w:eastAsia="Arial" w:hAnsi="Arial" w:cs="Arial"/>
                <w:i/>
                <w:iCs/>
                <w:color w:val="000000" w:themeColor="text1"/>
                <w:u w:val="single"/>
                <w:lang w:eastAsia="en-GB"/>
              </w:rPr>
            </w:pPr>
            <w:r w:rsidRPr="00BB79FA">
              <w:rPr>
                <w:rFonts w:ascii="Arial" w:eastAsia="Arial" w:hAnsi="Arial" w:cs="Arial"/>
                <w:i/>
                <w:color w:val="000000"/>
                <w:kern w:val="0"/>
                <w:u w:val="single"/>
                <w:lang w:eastAsia="en-GB"/>
                <w14:ligatures w14:val="none"/>
              </w:rPr>
              <w:t xml:space="preserve">      of which: assigned a RW of 100% </w:t>
            </w:r>
          </w:p>
          <w:p w14:paraId="2DC56534" w14:textId="7CD5F8DD" w:rsidR="00686F3A" w:rsidRPr="00BB79FA" w:rsidRDefault="00686F3A" w:rsidP="3A4AE8D3">
            <w:pPr>
              <w:spacing w:after="0" w:line="240" w:lineRule="auto"/>
              <w:rPr>
                <w:rFonts w:ascii="Arial" w:eastAsia="Arial" w:hAnsi="Arial" w:cs="Arial"/>
                <w:i/>
                <w:iCs/>
                <w:color w:val="000000" w:themeColor="text1"/>
                <w:lang w:eastAsia="en-GB"/>
              </w:rPr>
            </w:pPr>
          </w:p>
          <w:p w14:paraId="039B12B6" w14:textId="3048DEA6" w:rsidR="00686F3A" w:rsidRPr="00BB79FA" w:rsidRDefault="51D8ABDF" w:rsidP="3A4AE8D3">
            <w:pPr>
              <w:spacing w:after="0" w:line="240" w:lineRule="auto"/>
              <w:rPr>
                <w:rFonts w:ascii="Arial" w:eastAsia="Arial" w:hAnsi="Arial" w:cs="Arial"/>
                <w:i/>
                <w:iCs/>
              </w:rPr>
            </w:pPr>
            <w:r w:rsidRPr="00BB79FA">
              <w:rPr>
                <w:rFonts w:ascii="Arial" w:eastAsia="Arial" w:hAnsi="Arial" w:cs="Arial"/>
                <w:i/>
                <w:iCs/>
                <w:color w:val="000000" w:themeColor="text1"/>
                <w:lang w:eastAsia="en-GB"/>
              </w:rPr>
              <w:t>Only project finance exposures that are</w:t>
            </w:r>
            <w:r w:rsidR="00923516" w:rsidRPr="00BB79FA">
              <w:rPr>
                <w:rFonts w:ascii="Arial" w:eastAsia="Arial" w:hAnsi="Arial" w:cs="Arial"/>
                <w:i/>
                <w:iCs/>
                <w:color w:val="000000" w:themeColor="text1"/>
                <w:lang w:eastAsia="en-GB"/>
              </w:rPr>
              <w:t xml:space="preserve"> </w:t>
            </w:r>
            <w:r w:rsidRPr="00BB79FA">
              <w:rPr>
                <w:rFonts w:ascii="Arial" w:eastAsia="Arial" w:hAnsi="Arial" w:cs="Arial"/>
                <w:i/>
                <w:iCs/>
              </w:rPr>
              <w:t>assigned a risk weight of 100% under Article 122B(1) of the Credit Risk: Standardised Approach (CRR) Part shall be reported here.</w:t>
            </w:r>
          </w:p>
          <w:p w14:paraId="538DBCA7" w14:textId="51D1EC07" w:rsidR="00686F3A" w:rsidRPr="00BB79FA" w:rsidRDefault="00686F3A" w:rsidP="00686F3A">
            <w:pPr>
              <w:spacing w:after="0" w:line="240" w:lineRule="auto"/>
              <w:rPr>
                <w:rFonts w:ascii="Arial" w:eastAsia="Arial" w:hAnsi="Arial" w:cs="Arial"/>
                <w:i/>
                <w:color w:val="000000"/>
                <w:kern w:val="0"/>
                <w:lang w:eastAsia="en-GB"/>
                <w14:ligatures w14:val="none"/>
              </w:rPr>
            </w:pPr>
          </w:p>
        </w:tc>
      </w:tr>
      <w:tr w:rsidR="00686F3A" w:rsidRPr="00BB79FA" w14:paraId="12747D59" w14:textId="77777777" w:rsidTr="005E746E">
        <w:trPr>
          <w:trHeight w:val="276"/>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1A4B3C7C" w14:textId="2494E48E"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2</w:t>
            </w:r>
            <w:r w:rsidR="006F5A88" w:rsidRPr="00BB79FA">
              <w:rPr>
                <w:rFonts w:ascii="Arial" w:eastAsia="Arial" w:hAnsi="Arial" w:cs="Arial"/>
                <w:color w:val="000000"/>
                <w:kern w:val="0"/>
                <w:lang w:eastAsia="en-GB"/>
                <w14:ligatures w14:val="none"/>
              </w:rPr>
              <w:t>6</w:t>
            </w:r>
            <w:r w:rsidRPr="00BB79FA">
              <w:rPr>
                <w:rFonts w:ascii="Arial" w:eastAsia="Arial" w:hAnsi="Arial" w:cs="Arial"/>
                <w:color w:val="000000"/>
                <w:kern w:val="0"/>
                <w:lang w:eastAsia="en-GB"/>
                <w14:ligatures w14:val="none"/>
              </w:rPr>
              <w:t>5</w:t>
            </w:r>
          </w:p>
        </w:tc>
        <w:tc>
          <w:tcPr>
            <w:tcW w:w="7655" w:type="dxa"/>
            <w:tcBorders>
              <w:top w:val="nil"/>
              <w:left w:val="nil"/>
              <w:bottom w:val="single" w:sz="4" w:space="0" w:color="auto"/>
              <w:right w:val="single" w:sz="4" w:space="0" w:color="auto"/>
            </w:tcBorders>
            <w:shd w:val="clear" w:color="auto" w:fill="FFFFFF" w:themeFill="background1"/>
            <w:noWrap/>
            <w:hideMark/>
          </w:tcPr>
          <w:p w14:paraId="4DFCBAB8" w14:textId="2C61F4CE" w:rsidR="00686F3A" w:rsidRPr="00BB79FA" w:rsidRDefault="00686F3A" w:rsidP="32E9D4AD">
            <w:pPr>
              <w:spacing w:after="0" w:line="240" w:lineRule="auto"/>
              <w:rPr>
                <w:rFonts w:ascii="Arial" w:eastAsia="Arial" w:hAnsi="Arial" w:cs="Arial"/>
                <w:i/>
                <w:iCs/>
                <w:color w:val="000000" w:themeColor="text1"/>
                <w:lang w:eastAsia="en-GB"/>
              </w:rPr>
            </w:pPr>
            <w:r w:rsidRPr="00BB79FA">
              <w:rPr>
                <w:rFonts w:ascii="Arial" w:eastAsia="Arial" w:hAnsi="Arial" w:cs="Arial"/>
                <w:i/>
                <w:color w:val="000000"/>
                <w:kern w:val="0"/>
                <w:u w:val="single"/>
                <w:lang w:eastAsia="en-GB"/>
                <w14:ligatures w14:val="none"/>
              </w:rPr>
              <w:t xml:space="preserve">      of which: assigned a RW of 150%</w:t>
            </w:r>
            <w:r w:rsidRPr="00BB79FA">
              <w:rPr>
                <w:rFonts w:ascii="Arial" w:eastAsia="Arial" w:hAnsi="Arial" w:cs="Arial"/>
                <w:i/>
                <w:color w:val="000000"/>
                <w:kern w:val="0"/>
                <w:lang w:eastAsia="en-GB"/>
                <w14:ligatures w14:val="none"/>
              </w:rPr>
              <w:t xml:space="preserve"> </w:t>
            </w:r>
          </w:p>
          <w:p w14:paraId="1399169F" w14:textId="2CF9912F" w:rsidR="00686F3A" w:rsidRPr="00BB79FA" w:rsidRDefault="00686F3A" w:rsidP="32E9D4AD">
            <w:pPr>
              <w:spacing w:after="0" w:line="240" w:lineRule="auto"/>
              <w:rPr>
                <w:rFonts w:ascii="Arial" w:eastAsia="Arial" w:hAnsi="Arial" w:cs="Arial"/>
                <w:i/>
                <w:iCs/>
                <w:color w:val="000000" w:themeColor="text1"/>
                <w:lang w:eastAsia="en-GB"/>
              </w:rPr>
            </w:pPr>
          </w:p>
          <w:p w14:paraId="656B96BA" w14:textId="405B860A" w:rsidR="00686F3A" w:rsidRPr="00BB79FA" w:rsidRDefault="59554563" w:rsidP="32E9D4AD">
            <w:pPr>
              <w:spacing w:after="0" w:line="240" w:lineRule="auto"/>
              <w:rPr>
                <w:rFonts w:ascii="Arial" w:eastAsia="Arial" w:hAnsi="Arial" w:cs="Arial"/>
                <w:i/>
                <w:iCs/>
              </w:rPr>
            </w:pPr>
            <w:r w:rsidRPr="00BB79FA">
              <w:rPr>
                <w:rFonts w:ascii="Arial" w:eastAsia="Arial" w:hAnsi="Arial" w:cs="Arial"/>
                <w:i/>
                <w:iCs/>
                <w:color w:val="000000" w:themeColor="text1"/>
                <w:lang w:eastAsia="en-GB"/>
              </w:rPr>
              <w:t>Only project finance exposures that are</w:t>
            </w:r>
            <w:r w:rsidR="00923516" w:rsidRPr="00BB79FA">
              <w:rPr>
                <w:rFonts w:ascii="Arial" w:eastAsia="Arial" w:hAnsi="Arial" w:cs="Arial"/>
                <w:i/>
                <w:iCs/>
                <w:color w:val="000000" w:themeColor="text1"/>
                <w:lang w:eastAsia="en-GB"/>
              </w:rPr>
              <w:t xml:space="preserve"> </w:t>
            </w:r>
            <w:r w:rsidRPr="00BB79FA">
              <w:rPr>
                <w:rFonts w:ascii="Arial" w:eastAsia="Arial" w:hAnsi="Arial" w:cs="Arial"/>
                <w:i/>
                <w:iCs/>
              </w:rPr>
              <w:t>assigned a risk weight of 150% under Article 122B(1) of the Credit Risk: Standardised Approach (CRR) Part shall be reported here.</w:t>
            </w:r>
          </w:p>
          <w:p w14:paraId="535C2E99" w14:textId="08D17261" w:rsidR="00686F3A" w:rsidRPr="00BB79FA" w:rsidRDefault="00686F3A" w:rsidP="00686F3A">
            <w:pPr>
              <w:spacing w:after="0" w:line="240" w:lineRule="auto"/>
              <w:rPr>
                <w:rFonts w:ascii="Arial" w:eastAsia="Arial" w:hAnsi="Arial" w:cs="Arial"/>
                <w:i/>
                <w:color w:val="000000"/>
                <w:kern w:val="0"/>
                <w:lang w:eastAsia="en-GB"/>
                <w14:ligatures w14:val="none"/>
              </w:rPr>
            </w:pPr>
          </w:p>
        </w:tc>
      </w:tr>
      <w:tr w:rsidR="00686F3A" w:rsidRPr="00BB79FA" w14:paraId="2127BE82" w14:textId="77777777" w:rsidTr="005E746E">
        <w:trPr>
          <w:trHeight w:val="276"/>
        </w:trPr>
        <w:tc>
          <w:tcPr>
            <w:tcW w:w="750" w:type="dxa"/>
            <w:tcBorders>
              <w:top w:val="nil"/>
              <w:left w:val="single" w:sz="4" w:space="0" w:color="auto"/>
              <w:bottom w:val="single" w:sz="4" w:space="0" w:color="auto"/>
              <w:right w:val="single" w:sz="4" w:space="0" w:color="auto"/>
            </w:tcBorders>
            <w:shd w:val="clear" w:color="auto" w:fill="FFFFFF" w:themeFill="background1"/>
            <w:noWrap/>
            <w:hideMark/>
          </w:tcPr>
          <w:p w14:paraId="19F98A0A" w14:textId="60A1DCB9" w:rsidR="00686F3A" w:rsidRPr="00BB79FA" w:rsidRDefault="00686F3A" w:rsidP="00686F3A">
            <w:pPr>
              <w:spacing w:after="0" w:line="240" w:lineRule="auto"/>
              <w:rPr>
                <w:rFonts w:ascii="Arial" w:eastAsia="Arial" w:hAnsi="Arial" w:cs="Arial"/>
                <w:color w:val="000000"/>
                <w:kern w:val="0"/>
                <w:lang w:eastAsia="en-GB"/>
                <w14:ligatures w14:val="none"/>
              </w:rPr>
            </w:pPr>
            <w:r w:rsidRPr="00BB79FA">
              <w:rPr>
                <w:rFonts w:ascii="Arial" w:eastAsia="Arial" w:hAnsi="Arial" w:cs="Arial"/>
                <w:color w:val="000000"/>
                <w:kern w:val="0"/>
                <w:lang w:eastAsia="en-GB"/>
                <w14:ligatures w14:val="none"/>
              </w:rPr>
              <w:t>2</w:t>
            </w:r>
            <w:r w:rsidR="006F5A88" w:rsidRPr="00BB79FA">
              <w:rPr>
                <w:rFonts w:ascii="Arial" w:eastAsia="Arial" w:hAnsi="Arial" w:cs="Arial"/>
                <w:color w:val="000000"/>
                <w:kern w:val="0"/>
                <w:lang w:eastAsia="en-GB"/>
                <w14:ligatures w14:val="none"/>
              </w:rPr>
              <w:t>7</w:t>
            </w:r>
            <w:r w:rsidRPr="00BB79FA">
              <w:rPr>
                <w:rFonts w:ascii="Arial" w:eastAsia="Arial" w:hAnsi="Arial" w:cs="Arial"/>
                <w:color w:val="000000"/>
                <w:kern w:val="0"/>
                <w:lang w:eastAsia="en-GB"/>
                <w14:ligatures w14:val="none"/>
              </w:rPr>
              <w:t>0</w:t>
            </w:r>
          </w:p>
        </w:tc>
        <w:tc>
          <w:tcPr>
            <w:tcW w:w="7655" w:type="dxa"/>
            <w:tcBorders>
              <w:top w:val="nil"/>
              <w:left w:val="nil"/>
              <w:bottom w:val="single" w:sz="4" w:space="0" w:color="auto"/>
              <w:right w:val="single" w:sz="4" w:space="0" w:color="auto"/>
            </w:tcBorders>
            <w:noWrap/>
            <w:hideMark/>
          </w:tcPr>
          <w:p w14:paraId="448F2089" w14:textId="77777777" w:rsidR="00686F3A" w:rsidRPr="00BB79FA" w:rsidRDefault="00686F3A" w:rsidP="78189D88">
            <w:pPr>
              <w:spacing w:after="0" w:line="240" w:lineRule="auto"/>
              <w:rPr>
                <w:rFonts w:ascii="Arial" w:eastAsia="Arial" w:hAnsi="Arial" w:cs="Arial"/>
                <w:b/>
                <w:i/>
                <w:color w:val="000000" w:themeColor="text1"/>
                <w:u w:val="single"/>
                <w:lang w:eastAsia="en-GB"/>
              </w:rPr>
            </w:pPr>
            <w:r w:rsidRPr="00BB79FA">
              <w:rPr>
                <w:rFonts w:ascii="Arial" w:eastAsia="Arial" w:hAnsi="Arial" w:cs="Arial"/>
                <w:b/>
                <w:i/>
                <w:color w:val="000000"/>
                <w:kern w:val="0"/>
                <w:u w:val="single"/>
                <w:lang w:eastAsia="en-GB"/>
                <w14:ligatures w14:val="none"/>
              </w:rPr>
              <w:t xml:space="preserve">   of which: other specialised lending exposures (non-project finance exposures)</w:t>
            </w:r>
          </w:p>
          <w:p w14:paraId="5865488C" w14:textId="173371A6" w:rsidR="00686F3A" w:rsidRPr="00BB79FA" w:rsidRDefault="00686F3A" w:rsidP="1D4E8883">
            <w:pPr>
              <w:spacing w:after="0" w:line="240" w:lineRule="auto"/>
              <w:rPr>
                <w:rFonts w:ascii="Arial" w:eastAsia="Arial" w:hAnsi="Arial" w:cs="Arial"/>
                <w:b/>
                <w:bCs/>
                <w:i/>
                <w:iCs/>
                <w:color w:val="000000" w:themeColor="text1"/>
                <w:lang w:eastAsia="en-GB"/>
              </w:rPr>
            </w:pPr>
          </w:p>
          <w:p w14:paraId="3638971A" w14:textId="020C48D6" w:rsidR="00686F3A" w:rsidRPr="00BB79FA" w:rsidRDefault="7A22B099" w:rsidP="4D188EF6">
            <w:pPr>
              <w:spacing w:after="0" w:line="240" w:lineRule="auto"/>
              <w:rPr>
                <w:rFonts w:ascii="Arial" w:eastAsia="Arial" w:hAnsi="Arial" w:cs="Arial"/>
                <w:i/>
                <w:color w:val="000000" w:themeColor="text1"/>
                <w:lang w:eastAsia="en-GB"/>
              </w:rPr>
            </w:pPr>
            <w:r w:rsidRPr="00BB79FA">
              <w:rPr>
                <w:rFonts w:ascii="Arial" w:eastAsia="Arial" w:hAnsi="Arial" w:cs="Arial"/>
                <w:i/>
                <w:iCs/>
                <w:color w:val="000000" w:themeColor="text1"/>
                <w:lang w:eastAsia="en-GB"/>
              </w:rPr>
              <w:t>Only object finance exposures and commodities finance exposures that are</w:t>
            </w:r>
            <w:r w:rsidR="00C93AFC" w:rsidRPr="00BB79FA">
              <w:rPr>
                <w:rFonts w:ascii="Arial" w:eastAsia="Arial" w:hAnsi="Arial" w:cs="Arial"/>
                <w:i/>
                <w:iCs/>
                <w:color w:val="000000" w:themeColor="text1"/>
                <w:lang w:eastAsia="en-GB"/>
              </w:rPr>
              <w:t xml:space="preserve"> a</w:t>
            </w:r>
            <w:r w:rsidR="2DB49E32" w:rsidRPr="00BB79FA">
              <w:rPr>
                <w:rFonts w:ascii="Arial" w:eastAsia="Arial" w:hAnsi="Arial" w:cs="Arial"/>
                <w:i/>
                <w:iCs/>
                <w:color w:val="000000" w:themeColor="text1"/>
                <w:lang w:eastAsia="en-GB"/>
              </w:rPr>
              <w:t xml:space="preserve">ssigned the applicable risk weights under paragraphs (2)(a) and (2)(b) of Article 122B of the Credit Risk: Standardised Approach (CRR) Part </w:t>
            </w:r>
            <w:r w:rsidR="00C93AFC" w:rsidRPr="00BB79FA">
              <w:rPr>
                <w:rFonts w:ascii="Arial" w:eastAsia="Arial" w:hAnsi="Arial" w:cs="Arial"/>
                <w:i/>
                <w:iCs/>
                <w:color w:val="000000" w:themeColor="text1"/>
                <w:lang w:eastAsia="en-GB"/>
              </w:rPr>
              <w:t>s</w:t>
            </w:r>
            <w:r w:rsidR="2DB49E32" w:rsidRPr="00BB79FA">
              <w:rPr>
                <w:rFonts w:ascii="Arial" w:eastAsia="Arial" w:hAnsi="Arial" w:cs="Arial"/>
                <w:i/>
                <w:iCs/>
                <w:color w:val="000000" w:themeColor="text1"/>
                <w:lang w:eastAsia="en-GB"/>
              </w:rPr>
              <w:t>hall be reported here.</w:t>
            </w:r>
          </w:p>
          <w:p w14:paraId="153158C8" w14:textId="5484A3E0" w:rsidR="00686F3A" w:rsidRPr="00BB79FA" w:rsidRDefault="00686F3A" w:rsidP="00686F3A">
            <w:pPr>
              <w:spacing w:after="0" w:line="240" w:lineRule="auto"/>
              <w:rPr>
                <w:rFonts w:ascii="Arial" w:eastAsia="Arial" w:hAnsi="Arial" w:cs="Arial"/>
                <w:b/>
                <w:i/>
                <w:color w:val="000000"/>
                <w:kern w:val="0"/>
                <w:lang w:eastAsia="en-GB"/>
                <w14:ligatures w14:val="none"/>
              </w:rPr>
            </w:pPr>
          </w:p>
        </w:tc>
      </w:tr>
    </w:tbl>
    <w:p w14:paraId="0F747443" w14:textId="77777777" w:rsidR="00B41767" w:rsidRPr="00BB79FA" w:rsidRDefault="00B41767" w:rsidP="00421539">
      <w:pPr>
        <w:pStyle w:val="Heading1"/>
        <w:sectPr w:rsidR="00B41767" w:rsidRPr="00BB79FA">
          <w:pgSz w:w="11906" w:h="16838"/>
          <w:pgMar w:top="1440" w:right="1440" w:bottom="1440" w:left="1440" w:header="708" w:footer="708" w:gutter="0"/>
          <w:cols w:space="708"/>
          <w:docGrid w:linePitch="360"/>
        </w:sectPr>
      </w:pPr>
    </w:p>
    <w:p w14:paraId="57293DA1" w14:textId="7DA639EF" w:rsidR="00421539" w:rsidRPr="00BB79FA" w:rsidRDefault="009D4BA0" w:rsidP="0073503F">
      <w:pPr>
        <w:rPr>
          <w:rFonts w:ascii="Arial" w:hAnsi="Arial" w:cs="Arial"/>
        </w:rPr>
      </w:pPr>
      <w:r w:rsidRPr="00BB79FA">
        <w:rPr>
          <w:rFonts w:ascii="Arial" w:hAnsi="Arial" w:cs="Arial"/>
          <w:b/>
          <w:bCs/>
        </w:rPr>
        <w:lastRenderedPageBreak/>
        <w:t xml:space="preserve">SUBMISSION </w:t>
      </w:r>
      <w:r w:rsidR="006F5A88" w:rsidRPr="00BB79FA">
        <w:rPr>
          <w:rFonts w:ascii="Arial" w:hAnsi="Arial" w:cs="Arial"/>
          <w:b/>
          <w:bCs/>
        </w:rPr>
        <w:t>B</w:t>
      </w:r>
      <w:r w:rsidR="00995A16">
        <w:rPr>
          <w:rFonts w:ascii="Arial" w:hAnsi="Arial" w:cs="Arial"/>
          <w:b/>
          <w:bCs/>
        </w:rPr>
        <w:t xml:space="preserve"> for SDDTs</w:t>
      </w:r>
      <w:r w:rsidR="005D5B3A" w:rsidRPr="00BB79FA">
        <w:rPr>
          <w:rFonts w:ascii="Arial" w:hAnsi="Arial" w:cs="Arial"/>
          <w:b/>
          <w:bCs/>
        </w:rPr>
        <w:t>: Relevant infrastructure exposures</w:t>
      </w:r>
    </w:p>
    <w:p w14:paraId="642E23A0" w14:textId="15F7199C" w:rsidR="00421539" w:rsidRPr="00BB79FA" w:rsidRDefault="009D4BA0" w:rsidP="00A23969">
      <w:pPr>
        <w:pStyle w:val="Heading2"/>
        <w:numPr>
          <w:ilvl w:val="1"/>
          <w:numId w:val="43"/>
        </w:numPr>
        <w:ind w:left="567" w:hanging="567"/>
      </w:pPr>
      <w:r w:rsidRPr="00BB79FA">
        <w:t xml:space="preserve">Submission </w:t>
      </w:r>
      <w:r w:rsidR="006F5A88" w:rsidRPr="00BB79FA">
        <w:t>B</w:t>
      </w:r>
      <w:r w:rsidR="00463F91" w:rsidRPr="00BB79FA">
        <w:t xml:space="preserve"> </w:t>
      </w:r>
      <w:r w:rsidR="006F5A88" w:rsidRPr="00BB79FA">
        <w:t>shall include</w:t>
      </w:r>
      <w:r w:rsidR="00B517F6" w:rsidRPr="00BB79FA">
        <w:t xml:space="preserve"> only those</w:t>
      </w:r>
      <w:r w:rsidR="00463F91" w:rsidRPr="00BB79FA">
        <w:t xml:space="preserve"> exposures which are eligible for the </w:t>
      </w:r>
      <w:r w:rsidR="00CA2DA0">
        <w:t>I</w:t>
      </w:r>
      <w:r w:rsidR="00463F91" w:rsidRPr="00BB79FA">
        <w:t xml:space="preserve">nfrastructure </w:t>
      </w:r>
      <w:r w:rsidR="00CA2DA0">
        <w:t>F</w:t>
      </w:r>
      <w:r w:rsidR="005C698D" w:rsidRPr="00BB79FA">
        <w:t>actor</w:t>
      </w:r>
      <w:r w:rsidR="00463F91" w:rsidRPr="00BB79FA">
        <w:t xml:space="preserve"> </w:t>
      </w:r>
      <w:r w:rsidR="006F5A88" w:rsidRPr="00BB79FA">
        <w:t>in accordance with paragraphs 1.8 and 1.9</w:t>
      </w:r>
      <w:r w:rsidR="00463F91" w:rsidRPr="00BB79FA">
        <w:t xml:space="preserve"> </w:t>
      </w:r>
      <w:r w:rsidR="00421539" w:rsidRPr="00BB79FA">
        <w:t>and</w:t>
      </w:r>
      <w:r w:rsidR="00421539" w:rsidRPr="00BB79FA">
        <w:rPr>
          <w:b/>
          <w:bCs/>
        </w:rPr>
        <w:t xml:space="preserve"> </w:t>
      </w:r>
      <w:r w:rsidR="00421539" w:rsidRPr="00BB79FA">
        <w:t xml:space="preserve">where either: (a) these exposures are not eligible for the </w:t>
      </w:r>
      <w:r w:rsidR="000B72D8" w:rsidRPr="00BB79FA">
        <w:t>SME</w:t>
      </w:r>
      <w:r w:rsidR="00421539" w:rsidRPr="00BB79FA">
        <w:t xml:space="preserve"> </w:t>
      </w:r>
      <w:r w:rsidR="00CA2DA0">
        <w:t>F</w:t>
      </w:r>
      <w:r w:rsidR="009E734C" w:rsidRPr="00BB79FA">
        <w:t>actor</w:t>
      </w:r>
      <w:r w:rsidR="00421539" w:rsidRPr="00BB79FA">
        <w:t xml:space="preserve">, or (b) </w:t>
      </w:r>
      <w:r w:rsidR="0099269F" w:rsidRPr="00BB79FA">
        <w:t xml:space="preserve">the firm is </w:t>
      </w:r>
      <w:r w:rsidR="002863DD" w:rsidRPr="00BB79FA">
        <w:t>not seeking to qualify</w:t>
      </w:r>
      <w:r w:rsidR="0099269F" w:rsidRPr="00BB79FA">
        <w:t xml:space="preserve"> for the </w:t>
      </w:r>
      <w:r w:rsidR="000B72D8" w:rsidRPr="00BB79FA">
        <w:t>SME</w:t>
      </w:r>
      <w:r w:rsidR="00421539" w:rsidRPr="00BB79FA">
        <w:t xml:space="preserve"> </w:t>
      </w:r>
      <w:r w:rsidR="0099269F" w:rsidRPr="00BB79FA">
        <w:t xml:space="preserve">lending </w:t>
      </w:r>
      <w:r w:rsidR="00E64213" w:rsidRPr="00BB79FA">
        <w:t>a</w:t>
      </w:r>
      <w:r w:rsidR="00421539" w:rsidRPr="00BB79FA">
        <w:t>djustment.</w:t>
      </w:r>
    </w:p>
    <w:p w14:paraId="3A73DB13" w14:textId="65611B26" w:rsidR="00421539" w:rsidRPr="00BB79FA" w:rsidRDefault="00421539" w:rsidP="00A23969">
      <w:pPr>
        <w:pStyle w:val="Heading2"/>
        <w:numPr>
          <w:ilvl w:val="1"/>
          <w:numId w:val="43"/>
        </w:numPr>
        <w:ind w:left="567" w:hanging="567"/>
        <w:rPr>
          <w:color w:val="000000" w:themeColor="text1"/>
        </w:rPr>
      </w:pPr>
      <w:r w:rsidRPr="00BB79FA">
        <w:rPr>
          <w:color w:val="000000" w:themeColor="text1"/>
        </w:rPr>
        <w:t>Instructions in respect of specific columns</w:t>
      </w: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7614"/>
      </w:tblGrid>
      <w:tr w:rsidR="00A0776B" w:rsidRPr="00BB79FA" w14:paraId="00EBA6F8" w14:textId="77777777" w:rsidTr="00A0776B">
        <w:trPr>
          <w:trHeight w:val="1008"/>
        </w:trPr>
        <w:tc>
          <w:tcPr>
            <w:tcW w:w="750" w:type="dxa"/>
            <w:noWrap/>
            <w:hideMark/>
          </w:tcPr>
          <w:p w14:paraId="14A791FB" w14:textId="31795DA9" w:rsidR="00A0776B" w:rsidRPr="00BB79FA" w:rsidRDefault="00A0776B" w:rsidP="00A0776B">
            <w:pPr>
              <w:spacing w:after="0" w:line="240" w:lineRule="auto"/>
              <w:rPr>
                <w:rFonts w:ascii="Arial" w:eastAsia="Times New Roman" w:hAnsi="Arial" w:cs="Arial"/>
                <w:kern w:val="0"/>
                <w:lang w:eastAsia="en-GB"/>
                <w14:ligatures w14:val="none"/>
              </w:rPr>
            </w:pPr>
            <w:r w:rsidRPr="00BB79FA">
              <w:rPr>
                <w:rFonts w:ascii="Arial" w:eastAsia="Times New Roman" w:hAnsi="Arial" w:cs="Arial"/>
                <w:kern w:val="0"/>
                <w:lang w:eastAsia="en-GB"/>
                <w14:ligatures w14:val="none"/>
              </w:rPr>
              <w:t>010</w:t>
            </w:r>
          </w:p>
        </w:tc>
        <w:tc>
          <w:tcPr>
            <w:tcW w:w="7614" w:type="dxa"/>
            <w:hideMark/>
          </w:tcPr>
          <w:p w14:paraId="1D0B3377" w14:textId="77777777" w:rsidR="00A0776B" w:rsidRPr="00BB79FA" w:rsidRDefault="00A0776B" w:rsidP="00A0776B">
            <w:pPr>
              <w:spacing w:after="0" w:line="240" w:lineRule="auto"/>
              <w:rPr>
                <w:rFonts w:ascii="Arial" w:eastAsia="Times New Roman" w:hAnsi="Arial" w:cs="Arial"/>
                <w:b/>
                <w:bCs/>
                <w:kern w:val="0"/>
                <w:lang w:eastAsia="en-GB"/>
                <w14:ligatures w14:val="none"/>
              </w:rPr>
            </w:pPr>
            <w:r w:rsidRPr="00BB79FA">
              <w:rPr>
                <w:rFonts w:ascii="Arial" w:eastAsia="Times New Roman" w:hAnsi="Arial" w:cs="Arial"/>
                <w:b/>
                <w:bCs/>
                <w:kern w:val="0"/>
                <w:lang w:eastAsia="en-GB"/>
                <w14:ligatures w14:val="none"/>
              </w:rPr>
              <w:t xml:space="preserve">Risk-weighted exposure amount </w:t>
            </w:r>
          </w:p>
          <w:p w14:paraId="51C22BE1" w14:textId="3317EE90" w:rsidR="00A0776B" w:rsidRPr="00BB79FA" w:rsidRDefault="00A0776B" w:rsidP="00A0776B">
            <w:pPr>
              <w:spacing w:after="0" w:line="240" w:lineRule="auto"/>
              <w:rPr>
                <w:rFonts w:ascii="Arial" w:eastAsia="Times New Roman" w:hAnsi="Arial" w:cs="Arial"/>
                <w:b/>
                <w:bCs/>
                <w:kern w:val="0"/>
                <w:lang w:eastAsia="en-GB"/>
                <w14:ligatures w14:val="none"/>
              </w:rPr>
            </w:pPr>
            <w:r w:rsidRPr="00BB79FA">
              <w:rPr>
                <w:rFonts w:ascii="Arial" w:eastAsia="Times New Roman" w:hAnsi="Arial" w:cs="Arial"/>
                <w:b/>
                <w:bCs/>
                <w:kern w:val="0"/>
                <w:lang w:eastAsia="en-GB"/>
                <w14:ligatures w14:val="none"/>
              </w:rPr>
              <w:t>Of which: unprotect</w:t>
            </w:r>
            <w:r w:rsidR="00C76CB5">
              <w:rPr>
                <w:rFonts w:ascii="Arial" w:eastAsia="Times New Roman" w:hAnsi="Arial" w:cs="Arial"/>
                <w:b/>
                <w:bCs/>
                <w:kern w:val="0"/>
                <w:lang w:eastAsia="en-GB"/>
                <w14:ligatures w14:val="none"/>
              </w:rPr>
              <w:t>ed</w:t>
            </w:r>
            <w:r w:rsidRPr="00BB79FA">
              <w:rPr>
                <w:rFonts w:ascii="Arial" w:eastAsia="Times New Roman" w:hAnsi="Arial" w:cs="Arial"/>
                <w:b/>
                <w:bCs/>
                <w:kern w:val="0"/>
                <w:lang w:eastAsia="en-GB"/>
                <w14:ligatures w14:val="none"/>
              </w:rPr>
              <w:t xml:space="preserve"> part of the exposure amount</w:t>
            </w:r>
          </w:p>
          <w:p w14:paraId="211A33CD" w14:textId="77777777" w:rsidR="00A0776B" w:rsidRPr="00BB79FA" w:rsidRDefault="00A0776B" w:rsidP="00A0776B">
            <w:pPr>
              <w:spacing w:after="0" w:line="240" w:lineRule="auto"/>
              <w:rPr>
                <w:rFonts w:ascii="Arial" w:eastAsia="Times New Roman" w:hAnsi="Arial" w:cs="Arial"/>
                <w:b/>
                <w:bCs/>
                <w:kern w:val="0"/>
                <w:lang w:eastAsia="en-GB"/>
                <w14:ligatures w14:val="none"/>
              </w:rPr>
            </w:pPr>
          </w:p>
          <w:p w14:paraId="054209E1" w14:textId="7C916583" w:rsidR="00A0776B" w:rsidRPr="00BB79FA" w:rsidRDefault="00A0776B" w:rsidP="00A0776B">
            <w:pPr>
              <w:spacing w:after="0" w:line="240" w:lineRule="auto"/>
              <w:rPr>
                <w:rFonts w:ascii="Arial" w:eastAsia="Times New Roman" w:hAnsi="Arial" w:cs="Arial"/>
                <w:kern w:val="0"/>
                <w:lang w:eastAsia="en-GB"/>
                <w14:ligatures w14:val="none"/>
              </w:rPr>
            </w:pPr>
            <w:r w:rsidRPr="00BB79FA">
              <w:rPr>
                <w:rFonts w:ascii="Arial" w:eastAsia="Times New Roman" w:hAnsi="Arial" w:cs="Arial"/>
                <w:kern w:val="0"/>
                <w:lang w:eastAsia="en-GB"/>
                <w14:ligatures w14:val="none"/>
              </w:rPr>
              <w:t>RWEAs for exposures which meet the scope described in paragraph 1.</w:t>
            </w:r>
            <w:r w:rsidR="002B6560">
              <w:rPr>
                <w:rFonts w:ascii="Arial" w:eastAsia="Times New Roman" w:hAnsi="Arial" w:cs="Arial"/>
                <w:kern w:val="0"/>
                <w:lang w:eastAsia="en-GB"/>
                <w14:ligatures w14:val="none"/>
              </w:rPr>
              <w:t>19</w:t>
            </w:r>
            <w:r w:rsidRPr="00BB79FA">
              <w:rPr>
                <w:rFonts w:ascii="Arial" w:eastAsia="Times New Roman" w:hAnsi="Arial" w:cs="Arial"/>
                <w:kern w:val="0"/>
                <w:lang w:eastAsia="en-GB"/>
                <w14:ligatures w14:val="none"/>
              </w:rPr>
              <w:t>.</w:t>
            </w:r>
          </w:p>
          <w:p w14:paraId="5181BE60" w14:textId="77777777" w:rsidR="00A0776B" w:rsidRPr="00BB79FA" w:rsidRDefault="00A0776B" w:rsidP="00A0776B">
            <w:pPr>
              <w:spacing w:after="0" w:line="240" w:lineRule="auto"/>
              <w:rPr>
                <w:rFonts w:ascii="Arial" w:eastAsia="Times New Roman" w:hAnsi="Arial" w:cs="Arial"/>
                <w:kern w:val="0"/>
                <w:lang w:eastAsia="en-GB"/>
                <w14:ligatures w14:val="none"/>
              </w:rPr>
            </w:pPr>
          </w:p>
          <w:p w14:paraId="79714735" w14:textId="5B641E74" w:rsidR="00A0776B" w:rsidRPr="00BB79FA" w:rsidRDefault="00A0776B" w:rsidP="00A0776B">
            <w:pPr>
              <w:spacing w:after="0" w:line="240" w:lineRule="auto"/>
              <w:rPr>
                <w:rFonts w:ascii="Arial" w:eastAsia="Times New Roman" w:hAnsi="Arial" w:cs="Arial"/>
                <w:kern w:val="0"/>
                <w:lang w:eastAsia="en-GB"/>
                <w14:ligatures w14:val="none"/>
              </w:rPr>
            </w:pPr>
            <w:r w:rsidRPr="00BB79FA">
              <w:rPr>
                <w:rFonts w:ascii="Arial" w:eastAsia="Times New Roman" w:hAnsi="Arial" w:cs="Arial"/>
                <w:kern w:val="0"/>
                <w:lang w:eastAsia="en-GB"/>
                <w14:ligatures w14:val="none"/>
              </w:rPr>
              <w:t xml:space="preserve">Only parts of the exposure amount that are unprotected, such that the parts of the exposure amount are not subject to credit risk mitigation techniques under Articles 222, 232, </w:t>
            </w:r>
            <w:r w:rsidR="000B6306">
              <w:rPr>
                <w:rFonts w:ascii="Arial" w:eastAsia="Times New Roman" w:hAnsi="Arial" w:cs="Arial"/>
                <w:kern w:val="0"/>
                <w:lang w:eastAsia="en-GB"/>
                <w14:ligatures w14:val="none"/>
              </w:rPr>
              <w:t xml:space="preserve">and </w:t>
            </w:r>
            <w:r w:rsidRPr="00BB79FA">
              <w:rPr>
                <w:rFonts w:ascii="Arial" w:eastAsia="Times New Roman" w:hAnsi="Arial" w:cs="Arial"/>
                <w:kern w:val="0"/>
                <w:lang w:eastAsia="en-GB"/>
                <w14:ligatures w14:val="none"/>
              </w:rPr>
              <w:t>235 of the Credit Risk Mitigation (CRR) Part, shall be reported here.</w:t>
            </w:r>
          </w:p>
          <w:p w14:paraId="2FCA5A01" w14:textId="77777777" w:rsidR="00A0776B" w:rsidRPr="00BB79FA" w:rsidRDefault="00A0776B" w:rsidP="00A0776B">
            <w:pPr>
              <w:spacing w:after="0" w:line="240" w:lineRule="auto"/>
              <w:rPr>
                <w:rFonts w:ascii="Arial" w:eastAsia="Times New Roman" w:hAnsi="Arial" w:cs="Arial"/>
                <w:b/>
                <w:bCs/>
                <w:kern w:val="0"/>
                <w:lang w:eastAsia="en-GB"/>
                <w14:ligatures w14:val="none"/>
              </w:rPr>
            </w:pPr>
          </w:p>
        </w:tc>
      </w:tr>
      <w:tr w:rsidR="00A0776B" w:rsidRPr="00BB79FA" w14:paraId="38E8BA38" w14:textId="77777777" w:rsidTr="00A0776B">
        <w:trPr>
          <w:trHeight w:val="1008"/>
        </w:trPr>
        <w:tc>
          <w:tcPr>
            <w:tcW w:w="750" w:type="dxa"/>
            <w:noWrap/>
          </w:tcPr>
          <w:p w14:paraId="578E2B8A" w14:textId="08400D16" w:rsidR="00A0776B" w:rsidRPr="00BB79FA" w:rsidRDefault="00A0776B" w:rsidP="00A0776B">
            <w:pPr>
              <w:spacing w:after="0" w:line="240" w:lineRule="auto"/>
              <w:rPr>
                <w:rFonts w:ascii="Arial" w:eastAsia="Times New Roman" w:hAnsi="Arial" w:cs="Arial"/>
                <w:kern w:val="0"/>
                <w:lang w:eastAsia="en-GB"/>
                <w14:ligatures w14:val="none"/>
              </w:rPr>
            </w:pPr>
            <w:r w:rsidRPr="00BB79FA">
              <w:rPr>
                <w:rFonts w:ascii="Arial" w:eastAsia="Times New Roman" w:hAnsi="Arial" w:cs="Arial"/>
                <w:kern w:val="0"/>
                <w:lang w:eastAsia="en-GB"/>
                <w14:ligatures w14:val="none"/>
              </w:rPr>
              <w:t>020</w:t>
            </w:r>
          </w:p>
        </w:tc>
        <w:tc>
          <w:tcPr>
            <w:tcW w:w="7614" w:type="dxa"/>
          </w:tcPr>
          <w:p w14:paraId="1C42B506" w14:textId="77777777" w:rsidR="00A0776B" w:rsidRPr="00BB79FA" w:rsidRDefault="00A0776B" w:rsidP="00A0776B">
            <w:pPr>
              <w:spacing w:after="0" w:line="240" w:lineRule="auto"/>
              <w:rPr>
                <w:rFonts w:ascii="Arial" w:eastAsia="Times New Roman" w:hAnsi="Arial" w:cs="Arial"/>
                <w:b/>
                <w:bCs/>
                <w:kern w:val="0"/>
                <w:lang w:eastAsia="en-GB"/>
                <w14:ligatures w14:val="none"/>
              </w:rPr>
            </w:pPr>
            <w:r w:rsidRPr="00BB79FA">
              <w:rPr>
                <w:rFonts w:ascii="Arial" w:eastAsia="Times New Roman" w:hAnsi="Arial" w:cs="Arial"/>
                <w:b/>
                <w:bCs/>
                <w:kern w:val="0"/>
                <w:lang w:eastAsia="en-GB"/>
                <w14:ligatures w14:val="none"/>
              </w:rPr>
              <w:t xml:space="preserve">Risk-weighted exposure amount </w:t>
            </w:r>
          </w:p>
          <w:p w14:paraId="462778DF" w14:textId="77777777" w:rsidR="00A0776B" w:rsidRPr="00BB79FA" w:rsidRDefault="00A0776B" w:rsidP="00A0776B">
            <w:pPr>
              <w:spacing w:after="0" w:line="240" w:lineRule="auto"/>
              <w:rPr>
                <w:rFonts w:ascii="Arial" w:eastAsia="Times New Roman" w:hAnsi="Arial" w:cs="Arial"/>
                <w:b/>
                <w:bCs/>
                <w:kern w:val="0"/>
                <w:lang w:eastAsia="en-GB"/>
                <w14:ligatures w14:val="none"/>
              </w:rPr>
            </w:pPr>
            <w:r w:rsidRPr="00BB79FA">
              <w:rPr>
                <w:rFonts w:ascii="Arial" w:eastAsia="Times New Roman" w:hAnsi="Arial" w:cs="Arial"/>
                <w:b/>
                <w:bCs/>
                <w:kern w:val="0"/>
                <w:lang w:eastAsia="en-GB"/>
                <w14:ligatures w14:val="none"/>
              </w:rPr>
              <w:t>Of which: protected part of the exposure amount</w:t>
            </w:r>
          </w:p>
          <w:p w14:paraId="7354D488" w14:textId="77777777" w:rsidR="00A0776B" w:rsidRPr="00BB79FA" w:rsidRDefault="00A0776B" w:rsidP="00A0776B">
            <w:pPr>
              <w:spacing w:after="0" w:line="240" w:lineRule="auto"/>
              <w:rPr>
                <w:rFonts w:ascii="Arial" w:eastAsia="Times New Roman" w:hAnsi="Arial" w:cs="Arial"/>
                <w:b/>
                <w:bCs/>
                <w:kern w:val="0"/>
                <w:lang w:eastAsia="en-GB"/>
                <w14:ligatures w14:val="none"/>
              </w:rPr>
            </w:pPr>
          </w:p>
          <w:p w14:paraId="186A573A" w14:textId="70F03C03" w:rsidR="00A0776B" w:rsidRPr="00BB79FA" w:rsidRDefault="00A0776B" w:rsidP="00A0776B">
            <w:pPr>
              <w:spacing w:after="0" w:line="240" w:lineRule="auto"/>
              <w:rPr>
                <w:rFonts w:ascii="Arial" w:eastAsia="Times New Roman" w:hAnsi="Arial" w:cs="Arial"/>
                <w:kern w:val="0"/>
                <w:lang w:eastAsia="en-GB"/>
                <w14:ligatures w14:val="none"/>
              </w:rPr>
            </w:pPr>
            <w:r w:rsidRPr="00BB79FA">
              <w:rPr>
                <w:rFonts w:ascii="Arial" w:eastAsia="Times New Roman" w:hAnsi="Arial" w:cs="Arial"/>
                <w:kern w:val="0"/>
                <w:lang w:eastAsia="en-GB"/>
                <w14:ligatures w14:val="none"/>
              </w:rPr>
              <w:t>RWEAs for exposures which meet the scope described in paragraph 1.</w:t>
            </w:r>
            <w:r w:rsidR="002B6560">
              <w:rPr>
                <w:rFonts w:ascii="Arial" w:eastAsia="Times New Roman" w:hAnsi="Arial" w:cs="Arial"/>
                <w:kern w:val="0"/>
                <w:lang w:eastAsia="en-GB"/>
                <w14:ligatures w14:val="none"/>
              </w:rPr>
              <w:t>19</w:t>
            </w:r>
            <w:r w:rsidRPr="00BB79FA">
              <w:rPr>
                <w:rFonts w:ascii="Arial" w:eastAsia="Times New Roman" w:hAnsi="Arial" w:cs="Arial"/>
                <w:kern w:val="0"/>
                <w:lang w:eastAsia="en-GB"/>
                <w14:ligatures w14:val="none"/>
              </w:rPr>
              <w:t>.</w:t>
            </w:r>
          </w:p>
          <w:p w14:paraId="42A0FC40" w14:textId="77777777" w:rsidR="00A0776B" w:rsidRPr="00BB79FA" w:rsidRDefault="00A0776B" w:rsidP="00A0776B">
            <w:pPr>
              <w:spacing w:after="0" w:line="240" w:lineRule="auto"/>
              <w:rPr>
                <w:rFonts w:ascii="Arial" w:eastAsia="Times New Roman" w:hAnsi="Arial" w:cs="Arial"/>
                <w:kern w:val="0"/>
                <w:lang w:eastAsia="en-GB"/>
                <w14:ligatures w14:val="none"/>
              </w:rPr>
            </w:pPr>
          </w:p>
          <w:p w14:paraId="34F9F539" w14:textId="62C0ECFE" w:rsidR="00A0776B" w:rsidRPr="00BB79FA" w:rsidRDefault="00A0776B" w:rsidP="00A0776B">
            <w:pPr>
              <w:spacing w:after="0" w:line="240" w:lineRule="auto"/>
              <w:rPr>
                <w:rFonts w:ascii="Arial" w:eastAsia="Times New Roman" w:hAnsi="Arial" w:cs="Arial"/>
                <w:kern w:val="0"/>
                <w:lang w:eastAsia="en-GB"/>
                <w14:ligatures w14:val="none"/>
              </w:rPr>
            </w:pPr>
            <w:r w:rsidRPr="00BB79FA">
              <w:rPr>
                <w:rFonts w:ascii="Arial" w:eastAsia="Times New Roman" w:hAnsi="Arial" w:cs="Arial"/>
                <w:kern w:val="0"/>
                <w:lang w:eastAsia="en-GB"/>
                <w14:ligatures w14:val="none"/>
              </w:rPr>
              <w:t xml:space="preserve">Only parts of the exposure amount that are protected, such that the parts of the exposure amount are subject to credit risk mitigation techniques under Articles 222, 232, </w:t>
            </w:r>
            <w:r w:rsidR="000B6306">
              <w:rPr>
                <w:rFonts w:ascii="Arial" w:eastAsia="Times New Roman" w:hAnsi="Arial" w:cs="Arial"/>
                <w:kern w:val="0"/>
                <w:lang w:eastAsia="en-GB"/>
                <w14:ligatures w14:val="none"/>
              </w:rPr>
              <w:t xml:space="preserve">and </w:t>
            </w:r>
            <w:r w:rsidRPr="00BB79FA">
              <w:rPr>
                <w:rFonts w:ascii="Arial" w:eastAsia="Times New Roman" w:hAnsi="Arial" w:cs="Arial"/>
                <w:kern w:val="0"/>
                <w:lang w:eastAsia="en-GB"/>
                <w14:ligatures w14:val="none"/>
              </w:rPr>
              <w:t>235 of the Credit Risk Mitigation (CRR) Part, shall be reported here.</w:t>
            </w:r>
          </w:p>
          <w:p w14:paraId="04292122" w14:textId="77777777" w:rsidR="00A0776B" w:rsidRPr="00BB79FA" w:rsidRDefault="00A0776B" w:rsidP="00A0776B">
            <w:pPr>
              <w:spacing w:after="0" w:line="240" w:lineRule="auto"/>
              <w:rPr>
                <w:rFonts w:ascii="Arial" w:eastAsia="Times New Roman" w:hAnsi="Arial" w:cs="Arial"/>
                <w:b/>
                <w:bCs/>
                <w:kern w:val="0"/>
                <w:lang w:eastAsia="en-GB"/>
                <w14:ligatures w14:val="none"/>
              </w:rPr>
            </w:pPr>
          </w:p>
        </w:tc>
      </w:tr>
      <w:tr w:rsidR="00A0776B" w:rsidRPr="00BB79FA" w14:paraId="17F8117A" w14:textId="77777777" w:rsidTr="00A0776B">
        <w:trPr>
          <w:trHeight w:val="276"/>
        </w:trPr>
        <w:tc>
          <w:tcPr>
            <w:tcW w:w="750" w:type="dxa"/>
            <w:noWrap/>
            <w:hideMark/>
          </w:tcPr>
          <w:p w14:paraId="6B7119F6" w14:textId="069FEB40" w:rsidR="00A0776B" w:rsidRPr="00BB79FA" w:rsidRDefault="00A0776B" w:rsidP="00A0776B">
            <w:pPr>
              <w:spacing w:after="0" w:line="240" w:lineRule="auto"/>
              <w:rPr>
                <w:rFonts w:ascii="Arial" w:eastAsia="Times New Roman" w:hAnsi="Arial" w:cs="Arial"/>
                <w:kern w:val="0"/>
                <w:lang w:eastAsia="en-GB"/>
                <w14:ligatures w14:val="none"/>
              </w:rPr>
            </w:pPr>
            <w:r w:rsidRPr="00BB79FA">
              <w:rPr>
                <w:rFonts w:ascii="Arial" w:eastAsia="Times New Roman" w:hAnsi="Arial" w:cs="Arial"/>
                <w:kern w:val="0"/>
                <w:lang w:eastAsia="en-GB"/>
                <w14:ligatures w14:val="none"/>
              </w:rPr>
              <w:t>040</w:t>
            </w:r>
          </w:p>
        </w:tc>
        <w:tc>
          <w:tcPr>
            <w:tcW w:w="7614" w:type="dxa"/>
            <w:hideMark/>
          </w:tcPr>
          <w:p w14:paraId="6CFDD01A" w14:textId="66B5B7C7" w:rsidR="00A0776B" w:rsidRPr="00BB79FA" w:rsidRDefault="00250F66" w:rsidP="00A0776B">
            <w:pPr>
              <w:spacing w:after="0" w:line="240" w:lineRule="auto"/>
              <w:rPr>
                <w:rFonts w:ascii="Arial" w:eastAsia="Times New Roman" w:hAnsi="Arial" w:cs="Arial"/>
                <w:b/>
                <w:bCs/>
                <w:kern w:val="0"/>
                <w:lang w:eastAsia="en-GB"/>
                <w14:ligatures w14:val="none"/>
              </w:rPr>
            </w:pPr>
            <w:r>
              <w:rPr>
                <w:rFonts w:ascii="Arial" w:eastAsia="Times New Roman" w:hAnsi="Arial" w:cs="Arial"/>
                <w:b/>
                <w:bCs/>
                <w:kern w:val="0"/>
                <w:lang w:eastAsia="en-GB"/>
                <w14:ligatures w14:val="none"/>
              </w:rPr>
              <w:t>Infrastructure Factor</w:t>
            </w:r>
          </w:p>
          <w:p w14:paraId="602563D0" w14:textId="77777777" w:rsidR="00A0776B" w:rsidRPr="00BB79FA" w:rsidRDefault="00A0776B" w:rsidP="00A0776B">
            <w:pPr>
              <w:spacing w:after="0" w:line="240" w:lineRule="auto"/>
              <w:rPr>
                <w:rFonts w:ascii="Arial" w:eastAsia="Times New Roman" w:hAnsi="Arial" w:cs="Arial"/>
                <w:kern w:val="0"/>
                <w:lang w:eastAsia="en-GB"/>
                <w14:ligatures w14:val="none"/>
              </w:rPr>
            </w:pPr>
          </w:p>
          <w:p w14:paraId="157311D5" w14:textId="443686B5" w:rsidR="00A0776B" w:rsidRPr="00BB79FA" w:rsidRDefault="00A0776B" w:rsidP="00A0776B">
            <w:pPr>
              <w:spacing w:after="0" w:line="240" w:lineRule="auto"/>
              <w:rPr>
                <w:rFonts w:ascii="Arial" w:eastAsia="Times New Roman" w:hAnsi="Arial" w:cs="Arial"/>
                <w:kern w:val="0"/>
                <w:lang w:eastAsia="en-GB"/>
                <w14:ligatures w14:val="none"/>
              </w:rPr>
            </w:pPr>
            <w:r w:rsidRPr="00BB79FA">
              <w:rPr>
                <w:rFonts w:ascii="Arial" w:eastAsia="Times New Roman" w:hAnsi="Arial" w:cs="Arial"/>
                <w:kern w:val="0"/>
                <w:lang w:eastAsia="en-GB"/>
                <w14:ligatures w14:val="none"/>
              </w:rPr>
              <w:t>Firms do not need to populate this field because the Infrastructure Factor is 0.75 for all eligible exposures and is pre-populated where relevant.</w:t>
            </w:r>
          </w:p>
          <w:p w14:paraId="7A7FE819" w14:textId="77777777" w:rsidR="00A0776B" w:rsidRPr="00BB79FA" w:rsidRDefault="00A0776B" w:rsidP="00A0776B">
            <w:pPr>
              <w:spacing w:after="0" w:line="240" w:lineRule="auto"/>
              <w:rPr>
                <w:rFonts w:ascii="Arial" w:eastAsia="Times New Roman" w:hAnsi="Arial" w:cs="Arial"/>
                <w:kern w:val="0"/>
                <w:lang w:eastAsia="en-GB"/>
                <w14:ligatures w14:val="none"/>
              </w:rPr>
            </w:pPr>
          </w:p>
        </w:tc>
      </w:tr>
      <w:tr w:rsidR="00A0776B" w:rsidRPr="00BB79FA" w14:paraId="2FB26D7E" w14:textId="77777777" w:rsidTr="00A0776B">
        <w:trPr>
          <w:trHeight w:val="300"/>
        </w:trPr>
        <w:tc>
          <w:tcPr>
            <w:tcW w:w="750" w:type="dxa"/>
            <w:noWrap/>
            <w:hideMark/>
          </w:tcPr>
          <w:p w14:paraId="22C33BAE" w14:textId="77777777" w:rsidR="00A0776B" w:rsidRPr="00BB79FA" w:rsidRDefault="00A0776B" w:rsidP="00A0776B">
            <w:pPr>
              <w:spacing w:after="0" w:line="240" w:lineRule="auto"/>
              <w:rPr>
                <w:rFonts w:ascii="Arial" w:eastAsia="Times New Roman" w:hAnsi="Arial" w:cs="Arial"/>
                <w:color w:val="000000" w:themeColor="text1"/>
                <w:kern w:val="0"/>
                <w:lang w:eastAsia="en-GB"/>
                <w14:ligatures w14:val="none"/>
              </w:rPr>
            </w:pPr>
            <w:r w:rsidRPr="00BB79FA">
              <w:rPr>
                <w:rFonts w:ascii="Arial" w:eastAsia="Times New Roman" w:hAnsi="Arial" w:cs="Arial"/>
                <w:color w:val="000000" w:themeColor="text1"/>
                <w:kern w:val="0"/>
                <w:lang w:eastAsia="en-GB"/>
                <w14:ligatures w14:val="none"/>
              </w:rPr>
              <w:t>100</w:t>
            </w:r>
          </w:p>
        </w:tc>
        <w:tc>
          <w:tcPr>
            <w:tcW w:w="7614" w:type="dxa"/>
            <w:hideMark/>
          </w:tcPr>
          <w:p w14:paraId="2B2663A7" w14:textId="77777777" w:rsidR="00A0776B" w:rsidRPr="00BB79FA" w:rsidRDefault="00A0776B" w:rsidP="00A0776B">
            <w:pPr>
              <w:spacing w:after="0" w:line="240" w:lineRule="auto"/>
              <w:rPr>
                <w:rFonts w:ascii="Arial" w:eastAsia="Times New Roman" w:hAnsi="Arial" w:cs="Arial"/>
                <w:b/>
                <w:bCs/>
                <w:color w:val="000000" w:themeColor="text1"/>
                <w:kern w:val="0"/>
                <w:lang w:eastAsia="en-GB"/>
                <w14:ligatures w14:val="none"/>
              </w:rPr>
            </w:pPr>
            <w:r w:rsidRPr="00BB79FA">
              <w:rPr>
                <w:rFonts w:ascii="Arial" w:eastAsia="Times New Roman" w:hAnsi="Arial" w:cs="Arial"/>
                <w:b/>
                <w:bCs/>
                <w:color w:val="000000" w:themeColor="text1"/>
                <w:kern w:val="0"/>
                <w:lang w:eastAsia="en-GB"/>
                <w14:ligatures w14:val="none"/>
              </w:rPr>
              <w:t>Qualitative information on any comments/assumptions (Optional)</w:t>
            </w:r>
          </w:p>
          <w:p w14:paraId="088B4469" w14:textId="0F81B66D" w:rsidR="00A0776B" w:rsidRPr="00BB79FA" w:rsidRDefault="00A0776B" w:rsidP="00A0776B">
            <w:pPr>
              <w:spacing w:after="0" w:line="240" w:lineRule="auto"/>
              <w:rPr>
                <w:rFonts w:ascii="Arial" w:eastAsia="Times New Roman" w:hAnsi="Arial" w:cs="Arial"/>
                <w:b/>
                <w:bCs/>
                <w:color w:val="000000" w:themeColor="text1"/>
                <w:kern w:val="0"/>
                <w:lang w:eastAsia="en-GB"/>
                <w14:ligatures w14:val="none"/>
              </w:rPr>
            </w:pPr>
          </w:p>
          <w:p w14:paraId="61CC19F4" w14:textId="77777777" w:rsidR="00A0776B" w:rsidRPr="00BB79FA" w:rsidRDefault="00A0776B" w:rsidP="00A0776B">
            <w:pPr>
              <w:spacing w:after="0" w:line="240" w:lineRule="auto"/>
              <w:rPr>
                <w:rFonts w:ascii="Arial" w:eastAsia="Times New Roman" w:hAnsi="Arial" w:cs="Arial"/>
                <w:color w:val="000000" w:themeColor="text1"/>
                <w:kern w:val="0"/>
                <w:lang w:eastAsia="en-GB"/>
                <w14:ligatures w14:val="none"/>
              </w:rPr>
            </w:pPr>
            <w:r w:rsidRPr="00BB79FA">
              <w:rPr>
                <w:rFonts w:ascii="Arial" w:eastAsia="Times New Roman" w:hAnsi="Arial" w:cs="Arial"/>
                <w:color w:val="000000" w:themeColor="text1"/>
                <w:kern w:val="0"/>
                <w:lang w:eastAsia="en-GB"/>
                <w14:ligatures w14:val="none"/>
              </w:rPr>
              <w:t>Free text field for the optional provision of additional relevant interpretative information relating to data provided in columns 010 and 020.</w:t>
            </w:r>
          </w:p>
          <w:p w14:paraId="36D54B31" w14:textId="0E8216E4" w:rsidR="00A0776B" w:rsidRPr="00BB79FA" w:rsidRDefault="00A0776B" w:rsidP="00A0776B">
            <w:pPr>
              <w:spacing w:after="0" w:line="240" w:lineRule="auto"/>
              <w:rPr>
                <w:rFonts w:ascii="Arial" w:eastAsia="Times New Roman" w:hAnsi="Arial" w:cs="Arial"/>
                <w:b/>
                <w:bCs/>
                <w:color w:val="000000" w:themeColor="text1"/>
                <w:kern w:val="0"/>
                <w:lang w:eastAsia="en-GB"/>
                <w14:ligatures w14:val="none"/>
              </w:rPr>
            </w:pPr>
          </w:p>
        </w:tc>
      </w:tr>
    </w:tbl>
    <w:p w14:paraId="2E609624" w14:textId="77777777" w:rsidR="00421539" w:rsidRPr="00BB79FA" w:rsidRDefault="00421539" w:rsidP="00421539">
      <w:pPr>
        <w:rPr>
          <w:rFonts w:ascii="Arial" w:hAnsi="Arial" w:cs="Arial"/>
          <w:color w:val="000000" w:themeColor="text1"/>
        </w:rPr>
      </w:pPr>
    </w:p>
    <w:p w14:paraId="1EDD2ADB" w14:textId="1D10442D" w:rsidR="00421539" w:rsidRPr="00BB79FA" w:rsidRDefault="00421539" w:rsidP="00A23969">
      <w:pPr>
        <w:pStyle w:val="Heading2"/>
        <w:numPr>
          <w:ilvl w:val="1"/>
          <w:numId w:val="43"/>
        </w:numPr>
        <w:ind w:left="567" w:hanging="567"/>
        <w:rPr>
          <w:color w:val="000000" w:themeColor="text1"/>
        </w:rPr>
      </w:pPr>
      <w:r w:rsidRPr="00BB79FA">
        <w:rPr>
          <w:color w:val="000000" w:themeColor="text1"/>
        </w:rPr>
        <w:t>Instructions in respect of specific rows</w:t>
      </w:r>
    </w:p>
    <w:tbl>
      <w:tblPr>
        <w:tblStyle w:val="TableGrid1"/>
        <w:tblW w:w="8423" w:type="dxa"/>
        <w:tblInd w:w="562" w:type="dxa"/>
        <w:tblLook w:val="04A0" w:firstRow="1" w:lastRow="0" w:firstColumn="1" w:lastColumn="0" w:noHBand="0" w:noVBand="1"/>
      </w:tblPr>
      <w:tblGrid>
        <w:gridCol w:w="756"/>
        <w:gridCol w:w="7667"/>
      </w:tblGrid>
      <w:tr w:rsidR="00C07003" w:rsidRPr="00BB79FA" w14:paraId="052E63CC" w14:textId="77777777" w:rsidTr="00E00D98">
        <w:trPr>
          <w:trHeight w:val="276"/>
        </w:trPr>
        <w:tc>
          <w:tcPr>
            <w:tcW w:w="756" w:type="dxa"/>
            <w:noWrap/>
            <w:hideMark/>
          </w:tcPr>
          <w:p w14:paraId="556B4B22" w14:textId="77777777" w:rsidR="00C07003" w:rsidRPr="00BB79FA" w:rsidRDefault="00C07003" w:rsidP="008D250C">
            <w:pPr>
              <w:rPr>
                <w:rFonts w:ascii="Arial" w:eastAsia="Times New Roman" w:hAnsi="Arial" w:cs="Arial"/>
                <w:color w:val="000000" w:themeColor="text1"/>
                <w:lang w:eastAsia="en-GB"/>
              </w:rPr>
            </w:pPr>
            <w:r w:rsidRPr="00BB79FA">
              <w:rPr>
                <w:rFonts w:ascii="Arial" w:eastAsia="Times New Roman" w:hAnsi="Arial" w:cs="Arial"/>
                <w:color w:val="000000" w:themeColor="text1"/>
                <w:lang w:eastAsia="en-GB"/>
              </w:rPr>
              <w:t>100</w:t>
            </w:r>
          </w:p>
        </w:tc>
        <w:tc>
          <w:tcPr>
            <w:tcW w:w="7667" w:type="dxa"/>
            <w:noWrap/>
            <w:hideMark/>
          </w:tcPr>
          <w:p w14:paraId="102E364A" w14:textId="250BF5E7" w:rsidR="00C07003" w:rsidRPr="00BB79FA" w:rsidRDefault="00C07003" w:rsidP="008D250C">
            <w:pPr>
              <w:rPr>
                <w:rFonts w:ascii="Arial" w:eastAsia="Times New Roman" w:hAnsi="Arial" w:cs="Arial"/>
                <w:color w:val="000000" w:themeColor="text1"/>
                <w:u w:val="single"/>
                <w:lang w:eastAsia="en-GB"/>
              </w:rPr>
            </w:pPr>
            <w:r w:rsidRPr="00BB79FA">
              <w:rPr>
                <w:rFonts w:ascii="Arial" w:eastAsia="Times New Roman" w:hAnsi="Arial" w:cs="Arial"/>
                <w:b/>
                <w:color w:val="000000" w:themeColor="text1"/>
                <w:u w:val="single"/>
                <w:lang w:eastAsia="en-GB"/>
              </w:rPr>
              <w:t xml:space="preserve">Total risk exposure amount subject to </w:t>
            </w:r>
            <w:r w:rsidR="00AF6BE4" w:rsidRPr="00BB79FA">
              <w:rPr>
                <w:rFonts w:ascii="Arial" w:eastAsia="Times New Roman" w:hAnsi="Arial" w:cs="Arial"/>
                <w:b/>
                <w:color w:val="000000" w:themeColor="text1"/>
                <w:u w:val="single"/>
                <w:lang w:eastAsia="en-GB"/>
              </w:rPr>
              <w:t>I</w:t>
            </w:r>
            <w:r w:rsidR="00CA2DA0">
              <w:rPr>
                <w:rFonts w:ascii="Arial" w:eastAsia="Times New Roman" w:hAnsi="Arial" w:cs="Arial"/>
                <w:b/>
                <w:color w:val="000000" w:themeColor="text1"/>
                <w:u w:val="single"/>
                <w:lang w:eastAsia="en-GB"/>
              </w:rPr>
              <w:t xml:space="preserve">nfrastructure </w:t>
            </w:r>
            <w:r w:rsidRPr="00BB79FA">
              <w:rPr>
                <w:rFonts w:ascii="Arial" w:eastAsia="Times New Roman" w:hAnsi="Arial" w:cs="Arial"/>
                <w:b/>
                <w:color w:val="000000" w:themeColor="text1"/>
                <w:u w:val="single"/>
                <w:lang w:eastAsia="en-GB"/>
              </w:rPr>
              <w:t>F</w:t>
            </w:r>
            <w:r w:rsidR="00CA2DA0">
              <w:rPr>
                <w:rFonts w:ascii="Arial" w:eastAsia="Times New Roman" w:hAnsi="Arial" w:cs="Arial"/>
                <w:b/>
                <w:color w:val="000000" w:themeColor="text1"/>
                <w:u w:val="single"/>
                <w:lang w:eastAsia="en-GB"/>
              </w:rPr>
              <w:t>actor</w:t>
            </w:r>
          </w:p>
          <w:p w14:paraId="57E56DAD" w14:textId="77777777" w:rsidR="00C07003" w:rsidRPr="00BB79FA" w:rsidRDefault="00C07003" w:rsidP="008D250C">
            <w:pPr>
              <w:rPr>
                <w:rFonts w:ascii="Arial" w:eastAsia="Times New Roman" w:hAnsi="Arial" w:cs="Arial"/>
                <w:color w:val="000000" w:themeColor="text1"/>
                <w:lang w:eastAsia="en-GB"/>
              </w:rPr>
            </w:pPr>
          </w:p>
          <w:p w14:paraId="15DAACE4" w14:textId="0EE1653E" w:rsidR="00B20092" w:rsidRPr="00BB79FA" w:rsidRDefault="00B20092" w:rsidP="00B20092">
            <w:pPr>
              <w:rPr>
                <w:rFonts w:ascii="Arial" w:eastAsia="Arial" w:hAnsi="Arial" w:cs="Arial"/>
                <w:i/>
                <w:color w:val="000000" w:themeColor="text1"/>
                <w:lang w:eastAsia="en-GB"/>
              </w:rPr>
            </w:pPr>
            <w:r w:rsidRPr="00BB79FA">
              <w:rPr>
                <w:rFonts w:ascii="Arial" w:eastAsia="Arial" w:hAnsi="Arial" w:cs="Arial"/>
                <w:i/>
                <w:color w:val="000000" w:themeColor="text1"/>
                <w:lang w:eastAsia="en-GB"/>
              </w:rPr>
              <w:t>Sub-total of row 110</w:t>
            </w:r>
            <w:r w:rsidR="001D6515">
              <w:rPr>
                <w:rFonts w:ascii="Arial" w:eastAsia="Arial" w:hAnsi="Arial" w:cs="Arial"/>
                <w:i/>
                <w:color w:val="000000" w:themeColor="text1"/>
                <w:lang w:eastAsia="en-GB"/>
              </w:rPr>
              <w:t>.</w:t>
            </w:r>
            <w:r w:rsidRPr="00BB79FA">
              <w:rPr>
                <w:rFonts w:ascii="Arial" w:eastAsia="Arial" w:hAnsi="Arial" w:cs="Arial"/>
                <w:i/>
                <w:color w:val="000000" w:themeColor="text1"/>
                <w:lang w:eastAsia="en-GB"/>
              </w:rPr>
              <w:t xml:space="preserve"> </w:t>
            </w:r>
          </w:p>
          <w:p w14:paraId="0127762E" w14:textId="77777777" w:rsidR="00B20092" w:rsidRPr="00BB79FA" w:rsidRDefault="00B20092" w:rsidP="00B20092">
            <w:pPr>
              <w:rPr>
                <w:rFonts w:ascii="Arial" w:eastAsia="Arial" w:hAnsi="Arial" w:cs="Arial"/>
                <w:i/>
                <w:color w:val="000000" w:themeColor="text1"/>
                <w:lang w:eastAsia="en-GB"/>
              </w:rPr>
            </w:pPr>
          </w:p>
          <w:p w14:paraId="61ED83E6" w14:textId="77777777" w:rsidR="00B20092" w:rsidRPr="00BB79FA" w:rsidRDefault="00B20092" w:rsidP="00B20092">
            <w:pPr>
              <w:rPr>
                <w:rFonts w:ascii="Arial" w:eastAsia="Arial" w:hAnsi="Arial" w:cs="Arial"/>
                <w:i/>
                <w:color w:val="000000" w:themeColor="text1"/>
                <w:lang w:eastAsia="en-GB"/>
              </w:rPr>
            </w:pPr>
            <w:r w:rsidRPr="00BB79FA">
              <w:rPr>
                <w:rFonts w:ascii="Arial" w:eastAsia="Arial" w:hAnsi="Arial" w:cs="Arial"/>
                <w:i/>
                <w:color w:val="000000" w:themeColor="text1"/>
                <w:lang w:eastAsia="en-GB"/>
              </w:rPr>
              <w:t>This row will be calculated by a formula, firms do not need to report here.</w:t>
            </w:r>
          </w:p>
          <w:p w14:paraId="752AC758" w14:textId="77777777" w:rsidR="00C07003" w:rsidRPr="00BB79FA" w:rsidRDefault="00C07003" w:rsidP="008D250C">
            <w:pPr>
              <w:rPr>
                <w:rFonts w:ascii="Arial" w:eastAsia="Times New Roman" w:hAnsi="Arial" w:cs="Arial"/>
                <w:b/>
                <w:color w:val="000000" w:themeColor="text1"/>
                <w:lang w:eastAsia="en-GB"/>
              </w:rPr>
            </w:pPr>
          </w:p>
        </w:tc>
      </w:tr>
      <w:tr w:rsidR="00C07003" w:rsidRPr="00BB79FA" w14:paraId="04551A67" w14:textId="77777777" w:rsidTr="00E00D98">
        <w:trPr>
          <w:trHeight w:val="276"/>
        </w:trPr>
        <w:tc>
          <w:tcPr>
            <w:tcW w:w="756" w:type="dxa"/>
            <w:noWrap/>
            <w:hideMark/>
          </w:tcPr>
          <w:p w14:paraId="5FB74114" w14:textId="77777777" w:rsidR="00C07003" w:rsidRPr="00BB79FA" w:rsidRDefault="00C07003" w:rsidP="008D250C">
            <w:pPr>
              <w:ind w:right="-52"/>
              <w:rPr>
                <w:rFonts w:ascii="Arial" w:eastAsia="Times New Roman" w:hAnsi="Arial" w:cs="Arial"/>
                <w:color w:val="000000"/>
                <w:lang w:eastAsia="en-GB"/>
              </w:rPr>
            </w:pPr>
            <w:r w:rsidRPr="00BB79FA">
              <w:rPr>
                <w:rFonts w:ascii="Arial" w:eastAsia="Times New Roman" w:hAnsi="Arial" w:cs="Arial"/>
                <w:color w:val="000000"/>
                <w:lang w:eastAsia="en-GB"/>
              </w:rPr>
              <w:t>110</w:t>
            </w:r>
          </w:p>
        </w:tc>
        <w:tc>
          <w:tcPr>
            <w:tcW w:w="7667" w:type="dxa"/>
            <w:noWrap/>
            <w:hideMark/>
          </w:tcPr>
          <w:p w14:paraId="14489068" w14:textId="77777777" w:rsidR="00C07003" w:rsidRPr="00BB79FA" w:rsidRDefault="00C07003" w:rsidP="008D250C">
            <w:pPr>
              <w:rPr>
                <w:rFonts w:ascii="Arial" w:eastAsia="Times New Roman" w:hAnsi="Arial" w:cs="Arial"/>
                <w:b/>
                <w:i/>
                <w:color w:val="000000" w:themeColor="text1"/>
                <w:u w:val="single"/>
                <w:lang w:eastAsia="en-GB"/>
              </w:rPr>
            </w:pPr>
            <w:r w:rsidRPr="00BB79FA">
              <w:rPr>
                <w:rFonts w:ascii="Arial" w:eastAsia="Times New Roman" w:hAnsi="Arial" w:cs="Arial"/>
                <w:b/>
                <w:i/>
                <w:color w:val="000000"/>
                <w:u w:val="single"/>
                <w:lang w:eastAsia="en-GB"/>
              </w:rPr>
              <w:t>of which: under the standardised approach (SA)</w:t>
            </w:r>
          </w:p>
          <w:p w14:paraId="3ED8AE16" w14:textId="77777777" w:rsidR="00C07003" w:rsidRPr="00BB79FA" w:rsidRDefault="00C07003" w:rsidP="008D250C">
            <w:pPr>
              <w:rPr>
                <w:rFonts w:ascii="Arial" w:eastAsia="Times New Roman" w:hAnsi="Arial" w:cs="Arial"/>
                <w:b/>
                <w:bCs/>
                <w:i/>
                <w:iCs/>
                <w:color w:val="000000" w:themeColor="text1"/>
                <w:lang w:eastAsia="en-GB"/>
              </w:rPr>
            </w:pPr>
          </w:p>
          <w:p w14:paraId="199B66B3" w14:textId="3A9E7118" w:rsidR="00C07003" w:rsidRPr="00BB79FA" w:rsidRDefault="00C07003" w:rsidP="008D250C">
            <w:pPr>
              <w:rPr>
                <w:rFonts w:ascii="Arial" w:eastAsia="Times New Roman" w:hAnsi="Arial" w:cs="Arial"/>
                <w:i/>
                <w:iCs/>
                <w:color w:val="000000" w:themeColor="text1"/>
                <w:lang w:eastAsia="en-GB"/>
              </w:rPr>
            </w:pPr>
            <w:r w:rsidRPr="00BB79FA">
              <w:rPr>
                <w:rFonts w:ascii="Arial" w:eastAsia="Times New Roman" w:hAnsi="Arial" w:cs="Arial"/>
                <w:i/>
                <w:iCs/>
                <w:color w:val="000000" w:themeColor="text1"/>
                <w:lang w:eastAsia="en-GB"/>
              </w:rPr>
              <w:t>Sub-total row of the following rows: 130; 220; 2</w:t>
            </w:r>
            <w:r w:rsidR="00AC1499" w:rsidRPr="00BB79FA">
              <w:rPr>
                <w:rFonts w:ascii="Arial" w:eastAsia="Times New Roman" w:hAnsi="Arial" w:cs="Arial"/>
                <w:i/>
                <w:iCs/>
                <w:color w:val="000000" w:themeColor="text1"/>
                <w:lang w:eastAsia="en-GB"/>
              </w:rPr>
              <w:t>3</w:t>
            </w:r>
            <w:r w:rsidRPr="00BB79FA">
              <w:rPr>
                <w:rFonts w:ascii="Arial" w:eastAsia="Times New Roman" w:hAnsi="Arial" w:cs="Arial"/>
                <w:i/>
                <w:iCs/>
                <w:color w:val="000000" w:themeColor="text1"/>
                <w:lang w:eastAsia="en-GB"/>
              </w:rPr>
              <w:t xml:space="preserve">0; </w:t>
            </w:r>
            <w:r w:rsidR="00AC1499" w:rsidRPr="00BB79FA">
              <w:rPr>
                <w:rFonts w:ascii="Arial" w:eastAsia="Times New Roman" w:hAnsi="Arial" w:cs="Arial"/>
                <w:i/>
                <w:iCs/>
                <w:color w:val="000000" w:themeColor="text1"/>
                <w:lang w:eastAsia="en-GB"/>
              </w:rPr>
              <w:t>24</w:t>
            </w:r>
            <w:r w:rsidRPr="00BB79FA">
              <w:rPr>
                <w:rFonts w:ascii="Arial" w:eastAsia="Times New Roman" w:hAnsi="Arial" w:cs="Arial"/>
                <w:i/>
                <w:iCs/>
                <w:color w:val="000000" w:themeColor="text1"/>
                <w:lang w:eastAsia="en-GB"/>
              </w:rPr>
              <w:t>0;</w:t>
            </w:r>
            <w:r w:rsidR="00AC1499" w:rsidRPr="00BB79FA">
              <w:rPr>
                <w:rFonts w:ascii="Arial" w:eastAsia="Times New Roman" w:hAnsi="Arial" w:cs="Arial"/>
                <w:i/>
                <w:iCs/>
                <w:color w:val="000000" w:themeColor="text1"/>
                <w:lang w:eastAsia="en-GB"/>
              </w:rPr>
              <w:t xml:space="preserve"> 250; 260;</w:t>
            </w:r>
            <w:r w:rsidRPr="00BB79FA">
              <w:rPr>
                <w:rFonts w:ascii="Arial" w:eastAsia="Times New Roman" w:hAnsi="Arial" w:cs="Arial"/>
                <w:i/>
                <w:iCs/>
                <w:color w:val="000000" w:themeColor="text1"/>
                <w:lang w:eastAsia="en-GB"/>
              </w:rPr>
              <w:t xml:space="preserve"> and 2</w:t>
            </w:r>
            <w:r w:rsidR="00AC1499" w:rsidRPr="00BB79FA">
              <w:rPr>
                <w:rFonts w:ascii="Arial" w:eastAsia="Times New Roman" w:hAnsi="Arial" w:cs="Arial"/>
                <w:i/>
                <w:iCs/>
                <w:color w:val="000000" w:themeColor="text1"/>
                <w:lang w:eastAsia="en-GB"/>
              </w:rPr>
              <w:t>7</w:t>
            </w:r>
            <w:r w:rsidRPr="00BB79FA">
              <w:rPr>
                <w:rFonts w:ascii="Arial" w:eastAsia="Times New Roman" w:hAnsi="Arial" w:cs="Arial"/>
                <w:i/>
                <w:iCs/>
                <w:color w:val="000000" w:themeColor="text1"/>
                <w:lang w:eastAsia="en-GB"/>
              </w:rPr>
              <w:t>0.</w:t>
            </w:r>
          </w:p>
          <w:p w14:paraId="67BE5023" w14:textId="77777777" w:rsidR="00E316E4" w:rsidRPr="00BB79FA" w:rsidRDefault="00E316E4" w:rsidP="00E316E4">
            <w:pPr>
              <w:rPr>
                <w:rFonts w:ascii="Arial" w:eastAsia="Arial" w:hAnsi="Arial" w:cs="Arial"/>
                <w:i/>
                <w:iCs/>
                <w:color w:val="000000" w:themeColor="text1"/>
                <w:lang w:eastAsia="en-GB"/>
              </w:rPr>
            </w:pPr>
          </w:p>
          <w:p w14:paraId="30F5FB81" w14:textId="123D486B" w:rsidR="00E316E4" w:rsidRPr="00BB79FA" w:rsidRDefault="00E316E4" w:rsidP="00E316E4">
            <w:pPr>
              <w:rPr>
                <w:rFonts w:ascii="Arial" w:eastAsiaTheme="minorEastAsia" w:hAnsi="Arial" w:cs="Arial"/>
                <w:i/>
                <w:iCs/>
                <w:color w:val="000000" w:themeColor="text1"/>
                <w:lang w:eastAsia="en-GB"/>
              </w:rPr>
            </w:pPr>
            <w:r w:rsidRPr="00BB79FA">
              <w:rPr>
                <w:rFonts w:ascii="Arial" w:eastAsia="Arial" w:hAnsi="Arial" w:cs="Arial"/>
                <w:i/>
                <w:iCs/>
                <w:color w:val="000000" w:themeColor="text1"/>
                <w:lang w:eastAsia="en-GB"/>
              </w:rPr>
              <w:t>This row will be calculated by a formula, firms do not need to report here</w:t>
            </w:r>
            <w:r w:rsidR="006822BF" w:rsidRPr="00BB79FA">
              <w:rPr>
                <w:rFonts w:ascii="Arial" w:eastAsia="Arial" w:hAnsi="Arial" w:cs="Arial"/>
                <w:i/>
                <w:iCs/>
                <w:color w:val="000000" w:themeColor="text1"/>
                <w:lang w:eastAsia="en-GB"/>
              </w:rPr>
              <w:t>.</w:t>
            </w:r>
          </w:p>
          <w:p w14:paraId="63E286AA" w14:textId="77777777" w:rsidR="00AC1499" w:rsidRPr="00BB79FA" w:rsidRDefault="00AC1499" w:rsidP="00AC1499">
            <w:pPr>
              <w:rPr>
                <w:rFonts w:ascii="Arial" w:eastAsia="Times New Roman" w:hAnsi="Arial" w:cs="Arial"/>
                <w:i/>
                <w:color w:val="000000"/>
                <w:lang w:eastAsia="en-GB"/>
              </w:rPr>
            </w:pPr>
          </w:p>
        </w:tc>
      </w:tr>
      <w:tr w:rsidR="00405553" w:rsidRPr="00BB79FA" w14:paraId="3C407463" w14:textId="77777777" w:rsidTr="00E00D98">
        <w:trPr>
          <w:trHeight w:val="78"/>
        </w:trPr>
        <w:tc>
          <w:tcPr>
            <w:tcW w:w="756" w:type="dxa"/>
            <w:noWrap/>
            <w:hideMark/>
          </w:tcPr>
          <w:p w14:paraId="54800897" w14:textId="77777777" w:rsidR="00405553" w:rsidRPr="00BB79FA" w:rsidRDefault="00405553" w:rsidP="00405553">
            <w:pPr>
              <w:rPr>
                <w:rFonts w:ascii="Arial" w:eastAsia="Times New Roman" w:hAnsi="Arial" w:cs="Arial"/>
                <w:color w:val="000000"/>
                <w:lang w:eastAsia="en-GB"/>
              </w:rPr>
            </w:pPr>
            <w:r w:rsidRPr="00BB79FA">
              <w:rPr>
                <w:rFonts w:ascii="Arial" w:eastAsia="Times New Roman" w:hAnsi="Arial" w:cs="Arial"/>
                <w:color w:val="000000"/>
                <w:lang w:eastAsia="en-GB"/>
              </w:rPr>
              <w:t>120</w:t>
            </w:r>
          </w:p>
          <w:p w14:paraId="4FE29172" w14:textId="01BD1E8F" w:rsidR="00405553" w:rsidRPr="00BB79FA" w:rsidRDefault="00405553" w:rsidP="00405553">
            <w:pPr>
              <w:rPr>
                <w:rFonts w:ascii="Arial" w:eastAsia="Times New Roman" w:hAnsi="Arial" w:cs="Arial"/>
                <w:color w:val="000000"/>
                <w:lang w:eastAsia="en-GB"/>
              </w:rPr>
            </w:pPr>
            <w:r w:rsidRPr="00BB79FA">
              <w:rPr>
                <w:rFonts w:ascii="Arial" w:eastAsia="Times New Roman" w:hAnsi="Arial" w:cs="Arial"/>
                <w:color w:val="000000"/>
                <w:lang w:eastAsia="en-GB"/>
              </w:rPr>
              <w:lastRenderedPageBreak/>
              <w:t>- 122</w:t>
            </w:r>
          </w:p>
        </w:tc>
        <w:tc>
          <w:tcPr>
            <w:tcW w:w="7667" w:type="dxa"/>
            <w:noWrap/>
            <w:hideMark/>
          </w:tcPr>
          <w:p w14:paraId="17D682DC" w14:textId="77777777" w:rsidR="00405553" w:rsidRPr="00BB79FA" w:rsidRDefault="00405553" w:rsidP="00405553">
            <w:pPr>
              <w:rPr>
                <w:rFonts w:ascii="Arial" w:eastAsia="Times New Roman" w:hAnsi="Arial" w:cs="Arial"/>
                <w:b/>
                <w:i/>
                <w:color w:val="000000"/>
                <w:lang w:eastAsia="en-GB"/>
              </w:rPr>
            </w:pPr>
          </w:p>
          <w:p w14:paraId="1B66E912" w14:textId="049446D2" w:rsidR="00405553" w:rsidRPr="00BB79FA" w:rsidRDefault="00B97661" w:rsidP="00405553">
            <w:pPr>
              <w:rPr>
                <w:rFonts w:ascii="Arial" w:eastAsia="Arial" w:hAnsi="Arial" w:cs="Arial"/>
                <w:i/>
                <w:color w:val="000000" w:themeColor="text1"/>
                <w:lang w:eastAsia="en-GB"/>
              </w:rPr>
            </w:pPr>
            <w:r w:rsidRPr="00BB79FA">
              <w:rPr>
                <w:rFonts w:ascii="Arial" w:eastAsia="Arial" w:hAnsi="Arial" w:cs="Arial"/>
                <w:i/>
                <w:color w:val="000000" w:themeColor="text1"/>
                <w:lang w:eastAsia="en-GB"/>
              </w:rPr>
              <w:lastRenderedPageBreak/>
              <w:t>Do not</w:t>
            </w:r>
            <w:r w:rsidR="00405553" w:rsidRPr="00BB79FA">
              <w:rPr>
                <w:rFonts w:ascii="Arial" w:eastAsia="Arial" w:hAnsi="Arial" w:cs="Arial"/>
                <w:i/>
                <w:color w:val="000000" w:themeColor="text1"/>
                <w:lang w:eastAsia="en-GB"/>
              </w:rPr>
              <w:t xml:space="preserve"> complete these rows for </w:t>
            </w:r>
            <w:r w:rsidR="009D4BA0" w:rsidRPr="00BB79FA">
              <w:rPr>
                <w:rFonts w:ascii="Arial" w:eastAsia="Arial" w:hAnsi="Arial" w:cs="Arial"/>
                <w:i/>
                <w:color w:val="000000" w:themeColor="text1"/>
                <w:lang w:eastAsia="en-GB"/>
              </w:rPr>
              <w:t xml:space="preserve">Submission </w:t>
            </w:r>
            <w:r w:rsidR="005D5B3A" w:rsidRPr="00BB79FA">
              <w:rPr>
                <w:rFonts w:ascii="Arial" w:eastAsia="Arial" w:hAnsi="Arial" w:cs="Arial"/>
                <w:i/>
                <w:color w:val="000000" w:themeColor="text1"/>
                <w:lang w:eastAsia="en-GB"/>
              </w:rPr>
              <w:t>B</w:t>
            </w:r>
            <w:r w:rsidR="00405553" w:rsidRPr="00BB79FA">
              <w:rPr>
                <w:rFonts w:ascii="Arial" w:eastAsia="Arial" w:hAnsi="Arial" w:cs="Arial"/>
                <w:i/>
                <w:color w:val="000000" w:themeColor="text1"/>
                <w:lang w:eastAsia="en-GB"/>
              </w:rPr>
              <w:t>.</w:t>
            </w:r>
          </w:p>
          <w:p w14:paraId="076B58F5" w14:textId="104DE853" w:rsidR="00405553" w:rsidRPr="00BB79FA" w:rsidRDefault="00405553" w:rsidP="00405553">
            <w:pPr>
              <w:rPr>
                <w:rFonts w:ascii="Arial" w:eastAsia="Times New Roman" w:hAnsi="Arial" w:cs="Arial"/>
                <w:b/>
                <w:i/>
                <w:color w:val="000000" w:themeColor="text1"/>
                <w:lang w:eastAsia="en-GB"/>
              </w:rPr>
            </w:pPr>
          </w:p>
        </w:tc>
      </w:tr>
      <w:tr w:rsidR="00405553" w:rsidRPr="00BB79FA" w14:paraId="2B4E216C" w14:textId="77777777" w:rsidTr="00E00D98">
        <w:trPr>
          <w:trHeight w:val="276"/>
        </w:trPr>
        <w:tc>
          <w:tcPr>
            <w:tcW w:w="756" w:type="dxa"/>
            <w:noWrap/>
            <w:hideMark/>
          </w:tcPr>
          <w:p w14:paraId="590FAE34" w14:textId="77777777" w:rsidR="00405553" w:rsidRPr="00BB79FA" w:rsidRDefault="00405553" w:rsidP="00405553">
            <w:pPr>
              <w:rPr>
                <w:rFonts w:ascii="Arial" w:eastAsia="Times New Roman" w:hAnsi="Arial" w:cs="Arial"/>
                <w:color w:val="000000"/>
                <w:lang w:eastAsia="en-GB"/>
              </w:rPr>
            </w:pPr>
            <w:r w:rsidRPr="00BB79FA">
              <w:rPr>
                <w:rFonts w:ascii="Arial" w:eastAsia="Times New Roman" w:hAnsi="Arial" w:cs="Arial"/>
                <w:color w:val="000000"/>
                <w:lang w:eastAsia="en-GB"/>
              </w:rPr>
              <w:lastRenderedPageBreak/>
              <w:t>130</w:t>
            </w:r>
          </w:p>
        </w:tc>
        <w:tc>
          <w:tcPr>
            <w:tcW w:w="7667" w:type="dxa"/>
            <w:noWrap/>
            <w:hideMark/>
          </w:tcPr>
          <w:p w14:paraId="499AD88E" w14:textId="62E18CD6" w:rsidR="00405553" w:rsidRPr="00BB79FA" w:rsidRDefault="00405553" w:rsidP="00405553">
            <w:pPr>
              <w:rPr>
                <w:rFonts w:ascii="Arial" w:eastAsia="Times New Roman" w:hAnsi="Arial" w:cs="Arial"/>
                <w:b/>
                <w:i/>
                <w:color w:val="000000" w:themeColor="text1"/>
                <w:u w:val="single"/>
                <w:lang w:eastAsia="en-GB"/>
              </w:rPr>
            </w:pPr>
            <w:r w:rsidRPr="00BB79FA">
              <w:rPr>
                <w:rFonts w:ascii="Arial" w:eastAsia="Times New Roman" w:hAnsi="Arial" w:cs="Arial"/>
                <w:b/>
                <w:i/>
                <w:color w:val="000000" w:themeColor="text1"/>
                <w:u w:val="single"/>
                <w:lang w:eastAsia="en-GB"/>
              </w:rPr>
              <w:t xml:space="preserve">   of which: corporate exposures – SMEs</w:t>
            </w:r>
          </w:p>
          <w:p w14:paraId="5472AD5B" w14:textId="77777777" w:rsidR="00405553" w:rsidRPr="00BB79FA" w:rsidRDefault="00405553" w:rsidP="00405553">
            <w:pPr>
              <w:rPr>
                <w:rFonts w:ascii="Arial" w:eastAsia="Times New Roman" w:hAnsi="Arial" w:cs="Arial"/>
                <w:b/>
                <w:bCs/>
                <w:i/>
                <w:iCs/>
                <w:color w:val="000000" w:themeColor="text1"/>
                <w:lang w:eastAsia="en-GB"/>
              </w:rPr>
            </w:pPr>
          </w:p>
          <w:p w14:paraId="4E7159DE" w14:textId="77777777" w:rsidR="00405553" w:rsidRPr="00BB79FA" w:rsidRDefault="00405553" w:rsidP="00405553">
            <w:pPr>
              <w:rPr>
                <w:rFonts w:ascii="Arial" w:eastAsia="Times New Roman" w:hAnsi="Arial" w:cs="Arial"/>
                <w:i/>
                <w:iCs/>
                <w:color w:val="000000" w:themeColor="text1"/>
                <w:lang w:eastAsia="en-GB"/>
              </w:rPr>
            </w:pPr>
            <w:r w:rsidRPr="00BB79FA">
              <w:rPr>
                <w:rFonts w:ascii="Arial" w:eastAsia="Times New Roman" w:hAnsi="Arial" w:cs="Arial"/>
                <w:i/>
                <w:iCs/>
                <w:color w:val="000000" w:themeColor="text1"/>
                <w:lang w:eastAsia="en-GB"/>
              </w:rPr>
              <w:t>Sub-total row of following rows: 131; 132; 133; 134; 135; and 136.</w:t>
            </w:r>
          </w:p>
          <w:p w14:paraId="6C80FB6A" w14:textId="77777777" w:rsidR="00E316E4" w:rsidRPr="00BB79FA" w:rsidRDefault="00E316E4" w:rsidP="00405553">
            <w:pPr>
              <w:rPr>
                <w:rFonts w:ascii="Arial" w:eastAsia="Times New Roman" w:hAnsi="Arial" w:cs="Arial"/>
                <w:i/>
                <w:iCs/>
                <w:color w:val="000000" w:themeColor="text1"/>
                <w:lang w:eastAsia="en-GB"/>
              </w:rPr>
            </w:pPr>
          </w:p>
          <w:p w14:paraId="697396BA" w14:textId="433A006E" w:rsidR="00E316E4" w:rsidRPr="00BB79FA" w:rsidRDefault="00E316E4" w:rsidP="00E316E4">
            <w:pPr>
              <w:rPr>
                <w:rFonts w:ascii="Arial" w:eastAsia="Times New Roman" w:hAnsi="Arial" w:cs="Arial"/>
                <w:i/>
                <w:iCs/>
                <w:color w:val="000000" w:themeColor="text1"/>
                <w:lang w:eastAsia="en-GB"/>
              </w:rPr>
            </w:pPr>
            <w:r w:rsidRPr="00BB79FA">
              <w:rPr>
                <w:rFonts w:ascii="Arial" w:eastAsia="Arial" w:hAnsi="Arial" w:cs="Arial"/>
                <w:i/>
                <w:iCs/>
                <w:color w:val="000000" w:themeColor="text1"/>
                <w:lang w:eastAsia="en-GB"/>
              </w:rPr>
              <w:t>This row will be calculated by a formula, firms do not need to report here</w:t>
            </w:r>
            <w:r w:rsidR="00A510EE" w:rsidRPr="00BB79FA">
              <w:rPr>
                <w:rFonts w:ascii="Arial" w:eastAsia="Arial" w:hAnsi="Arial" w:cs="Arial"/>
                <w:i/>
                <w:iCs/>
                <w:color w:val="000000" w:themeColor="text1"/>
                <w:lang w:eastAsia="en-GB"/>
              </w:rPr>
              <w:t>.</w:t>
            </w:r>
          </w:p>
          <w:p w14:paraId="61AFAB5E" w14:textId="77777777" w:rsidR="00405553" w:rsidRPr="00BB79FA" w:rsidRDefault="00405553" w:rsidP="00003D31">
            <w:pPr>
              <w:pStyle w:val="ListParagraph"/>
              <w:rPr>
                <w:rFonts w:ascii="Arial" w:eastAsia="Times New Roman" w:hAnsi="Arial" w:cs="Arial"/>
                <w:b/>
                <w:i/>
                <w:color w:val="000000"/>
                <w:lang w:eastAsia="en-GB"/>
              </w:rPr>
            </w:pPr>
          </w:p>
        </w:tc>
      </w:tr>
      <w:tr w:rsidR="00E477C3" w:rsidRPr="00BB79FA" w14:paraId="18F2DE25" w14:textId="77777777" w:rsidTr="00E00D98">
        <w:trPr>
          <w:trHeight w:val="300"/>
        </w:trPr>
        <w:tc>
          <w:tcPr>
            <w:tcW w:w="756" w:type="dxa"/>
            <w:noWrap/>
            <w:hideMark/>
          </w:tcPr>
          <w:p w14:paraId="6F64F1C4" w14:textId="379E21CF" w:rsidR="00E477C3" w:rsidRPr="00BB79FA" w:rsidRDefault="00E477C3" w:rsidP="00E477C3">
            <w:pPr>
              <w:rPr>
                <w:rFonts w:ascii="Arial" w:eastAsia="Times New Roman" w:hAnsi="Arial" w:cs="Arial"/>
                <w:color w:val="000000"/>
                <w:lang w:eastAsia="en-GB"/>
              </w:rPr>
            </w:pPr>
            <w:r w:rsidRPr="00BB79FA">
              <w:rPr>
                <w:rFonts w:ascii="Arial" w:eastAsia="Arial" w:hAnsi="Arial" w:cs="Arial"/>
                <w:color w:val="000000"/>
                <w:lang w:eastAsia="en-GB"/>
              </w:rPr>
              <w:t>131</w:t>
            </w:r>
          </w:p>
        </w:tc>
        <w:tc>
          <w:tcPr>
            <w:tcW w:w="7667" w:type="dxa"/>
            <w:noWrap/>
            <w:hideMark/>
          </w:tcPr>
          <w:p w14:paraId="0D63739A" w14:textId="77777777" w:rsidR="00E477C3" w:rsidRPr="00BB79FA" w:rsidRDefault="00E477C3" w:rsidP="00E477C3">
            <w:pPr>
              <w:rPr>
                <w:rFonts w:ascii="Arial" w:eastAsia="Arial" w:hAnsi="Arial" w:cs="Arial"/>
                <w:i/>
                <w:color w:val="000000" w:themeColor="text1"/>
                <w:lang w:eastAsia="en-GB"/>
              </w:rPr>
            </w:pPr>
            <w:r w:rsidRPr="00BB79FA">
              <w:rPr>
                <w:rFonts w:ascii="Arial" w:eastAsia="Arial" w:hAnsi="Arial" w:cs="Arial"/>
                <w:i/>
                <w:color w:val="000000"/>
                <w:lang w:eastAsia="en-GB"/>
              </w:rPr>
              <w:t xml:space="preserve"> </w:t>
            </w:r>
            <w:r w:rsidRPr="00BB79FA">
              <w:rPr>
                <w:rFonts w:ascii="Arial" w:eastAsia="Arial" w:hAnsi="Arial" w:cs="Arial"/>
                <w:i/>
                <w:color w:val="000000"/>
                <w:u w:val="single"/>
                <w:lang w:eastAsia="en-GB"/>
              </w:rPr>
              <w:t xml:space="preserve">     of which: assigned a RW of 20% </w:t>
            </w:r>
          </w:p>
          <w:p w14:paraId="3B56A3C7" w14:textId="77777777" w:rsidR="00E477C3" w:rsidRPr="00BB79FA" w:rsidRDefault="00E477C3" w:rsidP="00E477C3">
            <w:pPr>
              <w:rPr>
                <w:rFonts w:ascii="Arial" w:eastAsia="Arial" w:hAnsi="Arial" w:cs="Arial"/>
                <w:i/>
                <w:color w:val="000000" w:themeColor="text1"/>
                <w:lang w:eastAsia="en-GB"/>
              </w:rPr>
            </w:pPr>
          </w:p>
          <w:p w14:paraId="05D5D20D" w14:textId="774EFD02" w:rsidR="00E477C3" w:rsidRPr="00BB79FA" w:rsidRDefault="00E477C3" w:rsidP="00E477C3">
            <w:pPr>
              <w:rPr>
                <w:rFonts w:ascii="Arial" w:eastAsia="Arial" w:hAnsi="Arial" w:cs="Arial"/>
                <w:i/>
                <w:color w:val="000000" w:themeColor="text1"/>
                <w:lang w:eastAsia="en-GB"/>
              </w:rPr>
            </w:pPr>
            <w:r w:rsidRPr="00BB79FA">
              <w:rPr>
                <w:rFonts w:ascii="Arial" w:eastAsia="Arial" w:hAnsi="Arial" w:cs="Arial"/>
                <w:i/>
                <w:color w:val="000000" w:themeColor="text1"/>
                <w:lang w:eastAsia="en-GB"/>
              </w:rPr>
              <w:t>Only exposures</w:t>
            </w:r>
            <w:r w:rsidR="0027160D" w:rsidRPr="00BB79FA">
              <w:rPr>
                <w:rFonts w:ascii="Arial" w:eastAsia="Arial" w:hAnsi="Arial" w:cs="Arial"/>
                <w:i/>
                <w:color w:val="000000" w:themeColor="text1"/>
                <w:lang w:eastAsia="en-GB"/>
              </w:rPr>
              <w:t xml:space="preserve"> to SMEs</w:t>
            </w:r>
            <w:r w:rsidRPr="00BB79FA">
              <w:rPr>
                <w:rFonts w:ascii="Arial" w:eastAsia="Arial" w:hAnsi="Arial" w:cs="Arial"/>
                <w:i/>
                <w:color w:val="000000" w:themeColor="text1"/>
                <w:lang w:eastAsia="en-GB"/>
              </w:rPr>
              <w:t xml:space="preserve"> that are assigned a risk weight of 20% in Table 6 or 6A under Article 122 of the Credit Risk: Standardised Approach (CRR) Part shall be reported here.  </w:t>
            </w:r>
          </w:p>
          <w:p w14:paraId="67BB5683" w14:textId="64A0A9C4" w:rsidR="00E477C3" w:rsidRPr="00BB79FA" w:rsidRDefault="00E477C3" w:rsidP="00E477C3">
            <w:pPr>
              <w:rPr>
                <w:rFonts w:ascii="Arial" w:eastAsia="Times New Roman" w:hAnsi="Arial" w:cs="Arial"/>
                <w:i/>
                <w:color w:val="000000"/>
                <w:lang w:eastAsia="en-GB"/>
              </w:rPr>
            </w:pPr>
          </w:p>
        </w:tc>
      </w:tr>
      <w:tr w:rsidR="00E477C3" w:rsidRPr="00BB79FA" w14:paraId="047650B4" w14:textId="77777777" w:rsidTr="00E00D98">
        <w:trPr>
          <w:trHeight w:val="300"/>
        </w:trPr>
        <w:tc>
          <w:tcPr>
            <w:tcW w:w="756" w:type="dxa"/>
            <w:noWrap/>
            <w:hideMark/>
          </w:tcPr>
          <w:p w14:paraId="38410344" w14:textId="48694ECC" w:rsidR="00E477C3" w:rsidRPr="00BB79FA" w:rsidRDefault="00E477C3" w:rsidP="00E477C3">
            <w:pPr>
              <w:rPr>
                <w:rFonts w:ascii="Arial" w:eastAsia="Times New Roman" w:hAnsi="Arial" w:cs="Arial"/>
                <w:color w:val="000000"/>
                <w:lang w:eastAsia="en-GB"/>
              </w:rPr>
            </w:pPr>
            <w:r w:rsidRPr="00BB79FA">
              <w:rPr>
                <w:rFonts w:ascii="Arial" w:eastAsia="Arial" w:hAnsi="Arial" w:cs="Arial"/>
                <w:color w:val="000000"/>
                <w:lang w:eastAsia="en-GB"/>
              </w:rPr>
              <w:t>132</w:t>
            </w:r>
          </w:p>
        </w:tc>
        <w:tc>
          <w:tcPr>
            <w:tcW w:w="7667" w:type="dxa"/>
            <w:noWrap/>
            <w:hideMark/>
          </w:tcPr>
          <w:p w14:paraId="35B986BA" w14:textId="77777777" w:rsidR="00E477C3" w:rsidRPr="00BB79FA" w:rsidRDefault="00E477C3" w:rsidP="00E477C3">
            <w:pPr>
              <w:rPr>
                <w:rFonts w:ascii="Arial" w:eastAsia="Arial" w:hAnsi="Arial" w:cs="Arial"/>
                <w:i/>
                <w:color w:val="000000" w:themeColor="text1"/>
                <w:u w:val="single"/>
                <w:lang w:eastAsia="en-GB"/>
              </w:rPr>
            </w:pPr>
            <w:r w:rsidRPr="00BB79FA">
              <w:rPr>
                <w:rFonts w:ascii="Arial" w:eastAsia="Arial" w:hAnsi="Arial" w:cs="Arial"/>
                <w:i/>
                <w:color w:val="000000" w:themeColor="text1"/>
                <w:lang w:eastAsia="en-GB"/>
              </w:rPr>
              <w:t xml:space="preserve"> </w:t>
            </w:r>
            <w:r w:rsidRPr="00BB79FA">
              <w:rPr>
                <w:rFonts w:ascii="Arial" w:eastAsia="Arial" w:hAnsi="Arial" w:cs="Arial"/>
                <w:i/>
                <w:color w:val="000000" w:themeColor="text1"/>
                <w:u w:val="single"/>
                <w:lang w:eastAsia="en-GB"/>
              </w:rPr>
              <w:t xml:space="preserve">     of which: assigned a RW of 50% </w:t>
            </w:r>
          </w:p>
          <w:p w14:paraId="29725BCC" w14:textId="77777777" w:rsidR="00E477C3" w:rsidRPr="00BB79FA" w:rsidRDefault="00E477C3" w:rsidP="00E477C3">
            <w:pPr>
              <w:rPr>
                <w:rFonts w:ascii="Arial" w:eastAsia="Arial" w:hAnsi="Arial" w:cs="Arial"/>
                <w:i/>
                <w:color w:val="000000" w:themeColor="text1"/>
                <w:lang w:eastAsia="en-GB"/>
              </w:rPr>
            </w:pPr>
          </w:p>
          <w:p w14:paraId="23386CDD" w14:textId="7FCC2934" w:rsidR="00E477C3" w:rsidRPr="00BB79FA" w:rsidRDefault="00E477C3" w:rsidP="00E477C3">
            <w:pPr>
              <w:rPr>
                <w:rFonts w:ascii="Arial" w:eastAsia="Arial" w:hAnsi="Arial" w:cs="Arial"/>
                <w:i/>
                <w:color w:val="000000" w:themeColor="text1"/>
                <w:lang w:eastAsia="en-GB"/>
              </w:rPr>
            </w:pPr>
            <w:r w:rsidRPr="00BB79FA">
              <w:rPr>
                <w:rFonts w:ascii="Arial" w:eastAsia="Arial" w:hAnsi="Arial" w:cs="Arial"/>
                <w:i/>
                <w:color w:val="000000" w:themeColor="text1"/>
                <w:lang w:eastAsia="en-GB"/>
              </w:rPr>
              <w:t>Only exposures</w:t>
            </w:r>
            <w:r w:rsidR="0027160D" w:rsidRPr="00BB79FA">
              <w:rPr>
                <w:rFonts w:ascii="Arial" w:eastAsia="Arial" w:hAnsi="Arial" w:cs="Arial"/>
                <w:i/>
                <w:color w:val="000000" w:themeColor="text1"/>
                <w:lang w:eastAsia="en-GB"/>
              </w:rPr>
              <w:t xml:space="preserve"> to SMEs</w:t>
            </w:r>
            <w:r w:rsidRPr="00BB79FA">
              <w:rPr>
                <w:rFonts w:ascii="Arial" w:eastAsia="Arial" w:hAnsi="Arial" w:cs="Arial"/>
                <w:i/>
                <w:color w:val="000000" w:themeColor="text1"/>
                <w:lang w:eastAsia="en-GB"/>
              </w:rPr>
              <w:t xml:space="preserve"> that are assigned a risk weight of 50% in Table 6 or 6A under Article 122 of the Credit Risk: Standardised Approach (CRR) Part shall be reported here.  </w:t>
            </w:r>
          </w:p>
          <w:p w14:paraId="54D4D82E" w14:textId="77777777" w:rsidR="00E477C3" w:rsidRPr="00BB79FA" w:rsidRDefault="00E477C3" w:rsidP="00E477C3">
            <w:pPr>
              <w:rPr>
                <w:rFonts w:ascii="Arial" w:eastAsia="Times New Roman" w:hAnsi="Arial" w:cs="Arial"/>
                <w:i/>
                <w:color w:val="000000"/>
                <w:lang w:eastAsia="en-GB"/>
              </w:rPr>
            </w:pPr>
          </w:p>
        </w:tc>
      </w:tr>
      <w:tr w:rsidR="00E477C3" w:rsidRPr="00BB79FA" w14:paraId="68E1793A" w14:textId="77777777" w:rsidTr="00E00D98">
        <w:trPr>
          <w:trHeight w:val="300"/>
        </w:trPr>
        <w:tc>
          <w:tcPr>
            <w:tcW w:w="756" w:type="dxa"/>
            <w:noWrap/>
            <w:hideMark/>
          </w:tcPr>
          <w:p w14:paraId="4A02C3C2" w14:textId="53C8698D" w:rsidR="00E477C3" w:rsidRPr="00BB79FA" w:rsidRDefault="00E477C3" w:rsidP="00E477C3">
            <w:pPr>
              <w:rPr>
                <w:rFonts w:ascii="Arial" w:eastAsia="Times New Roman" w:hAnsi="Arial" w:cs="Arial"/>
                <w:color w:val="000000"/>
                <w:lang w:eastAsia="en-GB"/>
              </w:rPr>
            </w:pPr>
            <w:r w:rsidRPr="00BB79FA">
              <w:rPr>
                <w:rFonts w:ascii="Arial" w:eastAsia="Arial" w:hAnsi="Arial" w:cs="Arial"/>
                <w:color w:val="000000"/>
                <w:lang w:eastAsia="en-GB"/>
              </w:rPr>
              <w:t>133</w:t>
            </w:r>
          </w:p>
        </w:tc>
        <w:tc>
          <w:tcPr>
            <w:tcW w:w="7667" w:type="dxa"/>
            <w:noWrap/>
            <w:hideMark/>
          </w:tcPr>
          <w:p w14:paraId="402C5F9F" w14:textId="77777777" w:rsidR="00E477C3" w:rsidRPr="00BB79FA" w:rsidRDefault="00E477C3" w:rsidP="00E477C3">
            <w:pPr>
              <w:rPr>
                <w:rFonts w:ascii="Arial" w:eastAsia="Arial" w:hAnsi="Arial" w:cs="Arial"/>
                <w:i/>
                <w:color w:val="000000" w:themeColor="text1"/>
                <w:u w:val="single"/>
                <w:lang w:eastAsia="en-GB"/>
              </w:rPr>
            </w:pPr>
            <w:r w:rsidRPr="00BB79FA">
              <w:rPr>
                <w:rFonts w:ascii="Arial" w:eastAsia="Arial" w:hAnsi="Arial" w:cs="Arial"/>
                <w:i/>
                <w:color w:val="000000" w:themeColor="text1"/>
                <w:u w:val="single"/>
                <w:lang w:eastAsia="en-GB"/>
              </w:rPr>
              <w:t xml:space="preserve">      of which: assigned a RW of 75% </w:t>
            </w:r>
          </w:p>
          <w:p w14:paraId="015D278A" w14:textId="77777777" w:rsidR="00E477C3" w:rsidRPr="00BB79FA" w:rsidRDefault="00E477C3" w:rsidP="00E477C3">
            <w:pPr>
              <w:rPr>
                <w:rFonts w:ascii="Arial" w:eastAsia="Arial" w:hAnsi="Arial" w:cs="Arial"/>
                <w:i/>
                <w:color w:val="000000" w:themeColor="text1"/>
                <w:lang w:eastAsia="en-GB"/>
              </w:rPr>
            </w:pPr>
          </w:p>
          <w:p w14:paraId="6DC28543" w14:textId="440B5026" w:rsidR="00E477C3" w:rsidRPr="00BB79FA" w:rsidRDefault="00E477C3" w:rsidP="00E477C3">
            <w:pPr>
              <w:rPr>
                <w:rFonts w:ascii="Arial" w:eastAsia="Arial" w:hAnsi="Arial" w:cs="Arial"/>
                <w:i/>
                <w:color w:val="000000" w:themeColor="text1"/>
                <w:lang w:eastAsia="en-GB"/>
              </w:rPr>
            </w:pPr>
            <w:r w:rsidRPr="00BB79FA">
              <w:rPr>
                <w:rFonts w:ascii="Arial" w:eastAsia="Arial" w:hAnsi="Arial" w:cs="Arial"/>
                <w:i/>
                <w:color w:val="000000" w:themeColor="text1"/>
                <w:lang w:eastAsia="en-GB"/>
              </w:rPr>
              <w:t>Only exposures</w:t>
            </w:r>
            <w:r w:rsidR="0027160D" w:rsidRPr="00BB79FA">
              <w:rPr>
                <w:rFonts w:ascii="Arial" w:eastAsia="Arial" w:hAnsi="Arial" w:cs="Arial"/>
                <w:i/>
                <w:color w:val="000000" w:themeColor="text1"/>
                <w:lang w:eastAsia="en-GB"/>
              </w:rPr>
              <w:t xml:space="preserve"> to SMEs</w:t>
            </w:r>
            <w:r w:rsidRPr="00BB79FA">
              <w:rPr>
                <w:rFonts w:ascii="Arial" w:eastAsia="Arial" w:hAnsi="Arial" w:cs="Arial"/>
                <w:i/>
                <w:color w:val="000000" w:themeColor="text1"/>
                <w:lang w:eastAsia="en-GB"/>
              </w:rPr>
              <w:t xml:space="preserve"> that are assigned a risk weight of 75% in Table 6 under Article 122 of the Credit Risk: Standardised Approach (CRR) Part shall be reported here.  </w:t>
            </w:r>
          </w:p>
          <w:p w14:paraId="51F2C0F6" w14:textId="77777777" w:rsidR="00E477C3" w:rsidRPr="00BB79FA" w:rsidRDefault="00E477C3" w:rsidP="00E477C3">
            <w:pPr>
              <w:rPr>
                <w:rFonts w:ascii="Arial" w:eastAsia="Times New Roman" w:hAnsi="Arial" w:cs="Arial"/>
                <w:i/>
                <w:color w:val="000000"/>
                <w:lang w:eastAsia="en-GB"/>
              </w:rPr>
            </w:pPr>
          </w:p>
        </w:tc>
      </w:tr>
      <w:tr w:rsidR="00E477C3" w:rsidRPr="00BB79FA" w14:paraId="6454498D" w14:textId="77777777" w:rsidTr="00E00D98">
        <w:trPr>
          <w:trHeight w:val="300"/>
        </w:trPr>
        <w:tc>
          <w:tcPr>
            <w:tcW w:w="756" w:type="dxa"/>
            <w:noWrap/>
            <w:hideMark/>
          </w:tcPr>
          <w:p w14:paraId="2CF49A6F" w14:textId="32E26444" w:rsidR="00E477C3" w:rsidRPr="00BB79FA" w:rsidRDefault="00E477C3" w:rsidP="00E477C3">
            <w:pPr>
              <w:rPr>
                <w:rFonts w:ascii="Arial" w:eastAsia="Times New Roman" w:hAnsi="Arial" w:cs="Arial"/>
                <w:color w:val="000000"/>
                <w:lang w:eastAsia="en-GB"/>
              </w:rPr>
            </w:pPr>
            <w:r w:rsidRPr="00BB79FA">
              <w:rPr>
                <w:rFonts w:ascii="Arial" w:eastAsia="Arial" w:hAnsi="Arial" w:cs="Arial"/>
                <w:color w:val="000000"/>
                <w:lang w:eastAsia="en-GB"/>
              </w:rPr>
              <w:t>134</w:t>
            </w:r>
          </w:p>
        </w:tc>
        <w:tc>
          <w:tcPr>
            <w:tcW w:w="7667" w:type="dxa"/>
            <w:noWrap/>
            <w:hideMark/>
          </w:tcPr>
          <w:p w14:paraId="7C2777FD" w14:textId="77777777" w:rsidR="00E477C3" w:rsidRPr="00BB79FA" w:rsidRDefault="00E477C3" w:rsidP="00E477C3">
            <w:pPr>
              <w:rPr>
                <w:rFonts w:ascii="Arial" w:eastAsia="Arial" w:hAnsi="Arial" w:cs="Arial"/>
                <w:i/>
                <w:color w:val="000000" w:themeColor="text1"/>
                <w:lang w:eastAsia="en-GB"/>
              </w:rPr>
            </w:pPr>
            <w:r w:rsidRPr="00BB79FA">
              <w:rPr>
                <w:rFonts w:ascii="Arial" w:eastAsia="Arial" w:hAnsi="Arial" w:cs="Arial"/>
                <w:i/>
                <w:color w:val="000000" w:themeColor="text1"/>
                <w:u w:val="single"/>
                <w:lang w:eastAsia="en-GB"/>
              </w:rPr>
              <w:t xml:space="preserve">      of which: assigned a RW of 85% </w:t>
            </w:r>
          </w:p>
          <w:p w14:paraId="11331A53" w14:textId="77777777" w:rsidR="00E477C3" w:rsidRPr="00BB79FA" w:rsidRDefault="00E477C3" w:rsidP="00E477C3">
            <w:pPr>
              <w:rPr>
                <w:rFonts w:ascii="Arial" w:eastAsia="Arial" w:hAnsi="Arial" w:cs="Arial"/>
                <w:i/>
                <w:color w:val="000000" w:themeColor="text1"/>
                <w:lang w:eastAsia="en-GB"/>
              </w:rPr>
            </w:pPr>
          </w:p>
          <w:p w14:paraId="7085ADE7" w14:textId="5286FFFF" w:rsidR="00E477C3" w:rsidRPr="00BB79FA" w:rsidRDefault="00E477C3" w:rsidP="00E477C3">
            <w:pPr>
              <w:rPr>
                <w:rFonts w:ascii="Arial" w:eastAsia="Arial" w:hAnsi="Arial" w:cs="Arial"/>
                <w:i/>
                <w:color w:val="000000" w:themeColor="text1"/>
                <w:lang w:eastAsia="en-GB"/>
              </w:rPr>
            </w:pPr>
            <w:r w:rsidRPr="00BB79FA">
              <w:rPr>
                <w:rFonts w:ascii="Arial" w:eastAsia="Arial" w:hAnsi="Arial" w:cs="Arial"/>
                <w:i/>
                <w:color w:val="000000" w:themeColor="text1"/>
                <w:lang w:eastAsia="en-GB"/>
              </w:rPr>
              <w:t>Only exposures</w:t>
            </w:r>
            <w:r w:rsidR="0027160D" w:rsidRPr="00BB79FA">
              <w:rPr>
                <w:rFonts w:ascii="Arial" w:eastAsia="Arial" w:hAnsi="Arial" w:cs="Arial"/>
                <w:i/>
                <w:color w:val="000000" w:themeColor="text1"/>
                <w:lang w:eastAsia="en-GB"/>
              </w:rPr>
              <w:t xml:space="preserve"> to SMEs</w:t>
            </w:r>
            <w:r w:rsidRPr="00BB79FA">
              <w:rPr>
                <w:rFonts w:ascii="Arial" w:eastAsia="Arial" w:hAnsi="Arial" w:cs="Arial"/>
                <w:i/>
                <w:color w:val="000000" w:themeColor="text1"/>
                <w:lang w:eastAsia="en-GB"/>
              </w:rPr>
              <w:t xml:space="preserve"> that are assigned a risk weight of 85% under Article 122(11) of the Credit Risk: Standardised Approach (CRR) Part shall be reported here.  </w:t>
            </w:r>
          </w:p>
          <w:p w14:paraId="3CC4C8B3" w14:textId="77777777" w:rsidR="00E477C3" w:rsidRPr="00BB79FA" w:rsidRDefault="00E477C3" w:rsidP="00E477C3">
            <w:pPr>
              <w:rPr>
                <w:rFonts w:ascii="Arial" w:eastAsia="Times New Roman" w:hAnsi="Arial" w:cs="Arial"/>
                <w:i/>
                <w:color w:val="000000"/>
                <w:lang w:eastAsia="en-GB"/>
              </w:rPr>
            </w:pPr>
          </w:p>
        </w:tc>
      </w:tr>
      <w:tr w:rsidR="00E477C3" w:rsidRPr="00BB79FA" w14:paraId="2ABD4C51" w14:textId="77777777" w:rsidTr="00E00D98">
        <w:trPr>
          <w:trHeight w:val="300"/>
        </w:trPr>
        <w:tc>
          <w:tcPr>
            <w:tcW w:w="756" w:type="dxa"/>
            <w:noWrap/>
            <w:hideMark/>
          </w:tcPr>
          <w:p w14:paraId="10968DDA" w14:textId="2BB65B85" w:rsidR="00E477C3" w:rsidRPr="00BB79FA" w:rsidRDefault="00E477C3" w:rsidP="00E477C3">
            <w:pPr>
              <w:rPr>
                <w:rFonts w:ascii="Arial" w:eastAsia="Times New Roman" w:hAnsi="Arial" w:cs="Arial"/>
                <w:color w:val="000000"/>
                <w:lang w:eastAsia="en-GB"/>
              </w:rPr>
            </w:pPr>
            <w:r w:rsidRPr="00BB79FA">
              <w:rPr>
                <w:rFonts w:ascii="Arial" w:eastAsia="Arial" w:hAnsi="Arial" w:cs="Arial"/>
                <w:color w:val="000000"/>
                <w:lang w:eastAsia="en-GB"/>
              </w:rPr>
              <w:t>135</w:t>
            </w:r>
          </w:p>
        </w:tc>
        <w:tc>
          <w:tcPr>
            <w:tcW w:w="7667" w:type="dxa"/>
            <w:noWrap/>
            <w:hideMark/>
          </w:tcPr>
          <w:p w14:paraId="552A315D" w14:textId="77777777" w:rsidR="00E477C3" w:rsidRPr="00BB79FA" w:rsidRDefault="00E477C3" w:rsidP="00E477C3">
            <w:pPr>
              <w:rPr>
                <w:rFonts w:ascii="Arial" w:eastAsia="Arial" w:hAnsi="Arial" w:cs="Arial"/>
                <w:i/>
                <w:color w:val="000000" w:themeColor="text1"/>
                <w:u w:val="single"/>
                <w:lang w:eastAsia="en-GB"/>
              </w:rPr>
            </w:pPr>
            <w:r w:rsidRPr="00BB79FA">
              <w:rPr>
                <w:rFonts w:ascii="Arial" w:eastAsia="Arial" w:hAnsi="Arial" w:cs="Arial"/>
                <w:i/>
                <w:color w:val="000000" w:themeColor="text1"/>
                <w:u w:val="single"/>
                <w:lang w:eastAsia="en-GB"/>
              </w:rPr>
              <w:t xml:space="preserve">      of which: assigned a RW of 100% </w:t>
            </w:r>
          </w:p>
          <w:p w14:paraId="4EB49A85" w14:textId="77777777" w:rsidR="00E477C3" w:rsidRPr="00BB79FA" w:rsidRDefault="00E477C3" w:rsidP="00E477C3">
            <w:pPr>
              <w:rPr>
                <w:rFonts w:ascii="Arial" w:eastAsia="Arial" w:hAnsi="Arial" w:cs="Arial"/>
                <w:i/>
                <w:color w:val="000000" w:themeColor="text1"/>
                <w:lang w:eastAsia="en-GB"/>
              </w:rPr>
            </w:pPr>
          </w:p>
          <w:p w14:paraId="0198C313" w14:textId="4035446B" w:rsidR="00E477C3" w:rsidRPr="00BB79FA" w:rsidRDefault="00E477C3" w:rsidP="00E477C3">
            <w:pPr>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Only exposures </w:t>
            </w:r>
            <w:r w:rsidR="0027160D" w:rsidRPr="00BB79FA">
              <w:rPr>
                <w:rFonts w:ascii="Arial" w:eastAsia="Arial" w:hAnsi="Arial" w:cs="Arial"/>
                <w:i/>
                <w:color w:val="000000" w:themeColor="text1"/>
                <w:lang w:eastAsia="en-GB"/>
              </w:rPr>
              <w:t xml:space="preserve">to SMEs </w:t>
            </w:r>
            <w:r w:rsidRPr="00BB79FA">
              <w:rPr>
                <w:rFonts w:ascii="Arial" w:eastAsia="Arial" w:hAnsi="Arial" w:cs="Arial"/>
                <w:i/>
                <w:color w:val="000000" w:themeColor="text1"/>
                <w:lang w:eastAsia="en-GB"/>
              </w:rPr>
              <w:t xml:space="preserve">that are assigned a risk weight of 100% in Table 6 or 6A under Article 122 of the Credit Risk: Standardised Approach (CRR) Part shall be reported here.  </w:t>
            </w:r>
          </w:p>
          <w:p w14:paraId="16E35840" w14:textId="77777777" w:rsidR="00E477C3" w:rsidRPr="00BB79FA" w:rsidRDefault="00E477C3" w:rsidP="00E477C3">
            <w:pPr>
              <w:rPr>
                <w:rFonts w:ascii="Arial" w:eastAsia="Times New Roman" w:hAnsi="Arial" w:cs="Arial"/>
                <w:i/>
                <w:color w:val="000000"/>
                <w:lang w:eastAsia="en-GB"/>
              </w:rPr>
            </w:pPr>
          </w:p>
        </w:tc>
      </w:tr>
      <w:tr w:rsidR="00E477C3" w:rsidRPr="00BB79FA" w14:paraId="0F1FD580" w14:textId="77777777" w:rsidTr="00E00D98">
        <w:trPr>
          <w:trHeight w:val="300"/>
        </w:trPr>
        <w:tc>
          <w:tcPr>
            <w:tcW w:w="756" w:type="dxa"/>
            <w:noWrap/>
            <w:hideMark/>
          </w:tcPr>
          <w:p w14:paraId="3B259AB0" w14:textId="57E5DA39" w:rsidR="00E477C3" w:rsidRPr="00BB79FA" w:rsidRDefault="00E477C3" w:rsidP="00E477C3">
            <w:pPr>
              <w:rPr>
                <w:rFonts w:ascii="Arial" w:eastAsia="Times New Roman" w:hAnsi="Arial" w:cs="Arial"/>
                <w:color w:val="000000"/>
                <w:lang w:eastAsia="en-GB"/>
              </w:rPr>
            </w:pPr>
            <w:r w:rsidRPr="00BB79FA">
              <w:rPr>
                <w:rFonts w:ascii="Arial" w:eastAsia="Arial" w:hAnsi="Arial" w:cs="Arial"/>
                <w:color w:val="000000"/>
                <w:lang w:eastAsia="en-GB"/>
              </w:rPr>
              <w:t>136</w:t>
            </w:r>
          </w:p>
        </w:tc>
        <w:tc>
          <w:tcPr>
            <w:tcW w:w="7667" w:type="dxa"/>
            <w:noWrap/>
            <w:hideMark/>
          </w:tcPr>
          <w:p w14:paraId="31FB3628" w14:textId="77777777" w:rsidR="00E477C3" w:rsidRPr="00BB79FA" w:rsidRDefault="00E477C3" w:rsidP="00E477C3">
            <w:pPr>
              <w:rPr>
                <w:rFonts w:ascii="Arial" w:eastAsia="Arial" w:hAnsi="Arial" w:cs="Arial"/>
                <w:i/>
                <w:color w:val="000000" w:themeColor="text1"/>
                <w:u w:val="single"/>
                <w:lang w:eastAsia="en-GB"/>
              </w:rPr>
            </w:pPr>
            <w:r w:rsidRPr="00BB79FA">
              <w:rPr>
                <w:rFonts w:ascii="Arial" w:eastAsia="Arial" w:hAnsi="Arial" w:cs="Arial"/>
                <w:i/>
                <w:color w:val="000000" w:themeColor="text1"/>
                <w:u w:val="single"/>
                <w:lang w:eastAsia="en-GB"/>
              </w:rPr>
              <w:t xml:space="preserve">      of which: assigned a RW of 150% </w:t>
            </w:r>
          </w:p>
          <w:p w14:paraId="0D5960B8" w14:textId="77777777" w:rsidR="00E477C3" w:rsidRPr="00BB79FA" w:rsidRDefault="00E477C3" w:rsidP="00E477C3">
            <w:pPr>
              <w:rPr>
                <w:rFonts w:ascii="Arial" w:eastAsia="Arial" w:hAnsi="Arial" w:cs="Arial"/>
                <w:i/>
                <w:color w:val="000000" w:themeColor="text1"/>
                <w:lang w:eastAsia="en-GB"/>
              </w:rPr>
            </w:pPr>
          </w:p>
          <w:p w14:paraId="38E0318F" w14:textId="54B1FB1B" w:rsidR="00E477C3" w:rsidRPr="00BB79FA" w:rsidRDefault="00E477C3" w:rsidP="00E477C3">
            <w:pPr>
              <w:rPr>
                <w:rFonts w:ascii="Arial" w:eastAsia="Arial" w:hAnsi="Arial" w:cs="Arial"/>
                <w:i/>
                <w:color w:val="000000" w:themeColor="text1"/>
                <w:lang w:eastAsia="en-GB"/>
              </w:rPr>
            </w:pPr>
            <w:r w:rsidRPr="00BB79FA">
              <w:rPr>
                <w:rFonts w:ascii="Arial" w:eastAsia="Arial" w:hAnsi="Arial" w:cs="Arial"/>
                <w:i/>
                <w:color w:val="000000" w:themeColor="text1"/>
                <w:lang w:eastAsia="en-GB"/>
              </w:rPr>
              <w:t>Only exposures</w:t>
            </w:r>
            <w:r w:rsidR="0027160D" w:rsidRPr="00BB79FA">
              <w:rPr>
                <w:rFonts w:ascii="Arial" w:eastAsia="Arial" w:hAnsi="Arial" w:cs="Arial"/>
                <w:i/>
                <w:color w:val="000000" w:themeColor="text1"/>
                <w:lang w:eastAsia="en-GB"/>
              </w:rPr>
              <w:t xml:space="preserve"> to SMEs</w:t>
            </w:r>
            <w:r w:rsidRPr="00BB79FA">
              <w:rPr>
                <w:rFonts w:ascii="Arial" w:eastAsia="Arial" w:hAnsi="Arial" w:cs="Arial"/>
                <w:i/>
                <w:color w:val="000000" w:themeColor="text1"/>
                <w:lang w:eastAsia="en-GB"/>
              </w:rPr>
              <w:t xml:space="preserve"> that are assigned a risk weight of 150% in Table 6 or 6A under Article 122 of the Credit Risk: Standardised Approach (CRR) Part shall be reported here.  </w:t>
            </w:r>
          </w:p>
          <w:p w14:paraId="7B76942F" w14:textId="77777777" w:rsidR="00E477C3" w:rsidRPr="00BB79FA" w:rsidRDefault="00E477C3" w:rsidP="00E477C3">
            <w:pPr>
              <w:rPr>
                <w:rFonts w:ascii="Arial" w:eastAsia="Times New Roman" w:hAnsi="Arial" w:cs="Arial"/>
                <w:i/>
                <w:color w:val="000000"/>
                <w:lang w:eastAsia="en-GB"/>
              </w:rPr>
            </w:pPr>
          </w:p>
        </w:tc>
      </w:tr>
      <w:tr w:rsidR="00E477C3" w:rsidRPr="00BB79FA" w14:paraId="7D490C09" w14:textId="77777777" w:rsidTr="00E00D98">
        <w:trPr>
          <w:trHeight w:val="276"/>
        </w:trPr>
        <w:tc>
          <w:tcPr>
            <w:tcW w:w="756" w:type="dxa"/>
            <w:noWrap/>
            <w:hideMark/>
          </w:tcPr>
          <w:p w14:paraId="534E3DE1" w14:textId="15BC9311" w:rsidR="00E477C3" w:rsidRPr="00BB79FA" w:rsidRDefault="00E477C3" w:rsidP="00E477C3">
            <w:pPr>
              <w:rPr>
                <w:rFonts w:ascii="Arial" w:eastAsia="Times New Roman" w:hAnsi="Arial" w:cs="Arial"/>
                <w:color w:val="000000"/>
                <w:lang w:eastAsia="en-GB"/>
              </w:rPr>
            </w:pPr>
            <w:r w:rsidRPr="00BB79FA">
              <w:rPr>
                <w:rFonts w:ascii="Arial" w:eastAsia="Times New Roman" w:hAnsi="Arial" w:cs="Arial"/>
                <w:color w:val="000000"/>
                <w:lang w:eastAsia="en-GB"/>
              </w:rPr>
              <w:t>140 - 212</w:t>
            </w:r>
          </w:p>
        </w:tc>
        <w:tc>
          <w:tcPr>
            <w:tcW w:w="7667" w:type="dxa"/>
            <w:noWrap/>
            <w:hideMark/>
          </w:tcPr>
          <w:p w14:paraId="56F6D199" w14:textId="77777777" w:rsidR="00E477C3" w:rsidRPr="00BB79FA" w:rsidRDefault="00E477C3" w:rsidP="00E477C3">
            <w:pPr>
              <w:rPr>
                <w:rFonts w:ascii="Arial" w:eastAsia="Times New Roman" w:hAnsi="Arial" w:cs="Arial"/>
                <w:b/>
                <w:i/>
                <w:color w:val="000000"/>
                <w:lang w:eastAsia="en-GB"/>
              </w:rPr>
            </w:pPr>
          </w:p>
          <w:p w14:paraId="3DC5B2B9" w14:textId="07E1F43C" w:rsidR="00E477C3" w:rsidRPr="00BB79FA" w:rsidRDefault="00E477C3" w:rsidP="00E477C3">
            <w:pPr>
              <w:rPr>
                <w:rFonts w:ascii="Arial" w:eastAsia="Arial" w:hAnsi="Arial" w:cs="Arial"/>
                <w:i/>
                <w:color w:val="000000" w:themeColor="text1"/>
                <w:lang w:eastAsia="en-GB"/>
              </w:rPr>
            </w:pPr>
            <w:r w:rsidRPr="00BB79FA">
              <w:rPr>
                <w:rFonts w:ascii="Arial" w:eastAsia="Arial" w:hAnsi="Arial" w:cs="Arial"/>
                <w:i/>
                <w:color w:val="000000" w:themeColor="text1"/>
                <w:lang w:eastAsia="en-GB"/>
              </w:rPr>
              <w:t>Do not complete these rows for Submission 2b.</w:t>
            </w:r>
          </w:p>
          <w:p w14:paraId="3C434F61" w14:textId="77777777" w:rsidR="00E477C3" w:rsidRPr="00BB79FA" w:rsidRDefault="00E477C3" w:rsidP="00E477C3">
            <w:pPr>
              <w:rPr>
                <w:rFonts w:ascii="Arial" w:eastAsia="Times New Roman" w:hAnsi="Arial" w:cs="Arial"/>
                <w:b/>
                <w:i/>
                <w:color w:val="000000"/>
                <w:lang w:eastAsia="en-GB"/>
              </w:rPr>
            </w:pPr>
          </w:p>
        </w:tc>
      </w:tr>
      <w:tr w:rsidR="00E477C3" w:rsidRPr="00BB79FA" w14:paraId="5FF885E6" w14:textId="77777777" w:rsidTr="00E00D98">
        <w:trPr>
          <w:trHeight w:val="276"/>
        </w:trPr>
        <w:tc>
          <w:tcPr>
            <w:tcW w:w="756" w:type="dxa"/>
            <w:noWrap/>
            <w:hideMark/>
          </w:tcPr>
          <w:p w14:paraId="47C30315" w14:textId="099EDB79" w:rsidR="00E477C3" w:rsidRPr="00BB79FA" w:rsidRDefault="00E477C3" w:rsidP="00E477C3">
            <w:pPr>
              <w:rPr>
                <w:rFonts w:ascii="Arial" w:eastAsia="Times New Roman" w:hAnsi="Arial" w:cs="Arial"/>
                <w:color w:val="000000"/>
                <w:lang w:eastAsia="en-GB"/>
              </w:rPr>
            </w:pPr>
            <w:r w:rsidRPr="00BB79FA">
              <w:rPr>
                <w:rFonts w:ascii="Arial" w:eastAsia="Times New Roman" w:hAnsi="Arial" w:cs="Arial"/>
                <w:color w:val="000000"/>
                <w:lang w:eastAsia="en-GB"/>
              </w:rPr>
              <w:t>220</w:t>
            </w:r>
          </w:p>
        </w:tc>
        <w:tc>
          <w:tcPr>
            <w:tcW w:w="7667" w:type="dxa"/>
            <w:noWrap/>
            <w:hideMark/>
          </w:tcPr>
          <w:p w14:paraId="0E7CEAEB" w14:textId="3250DF1A" w:rsidR="00E477C3" w:rsidRPr="00BB79FA" w:rsidRDefault="00E477C3" w:rsidP="00E477C3">
            <w:pPr>
              <w:rPr>
                <w:rFonts w:ascii="Arial" w:eastAsia="Times New Roman" w:hAnsi="Arial" w:cs="Arial"/>
                <w:b/>
                <w:i/>
                <w:color w:val="000000" w:themeColor="text1"/>
                <w:u w:val="single"/>
                <w:lang w:eastAsia="en-GB"/>
              </w:rPr>
            </w:pPr>
            <w:r w:rsidRPr="00BB79FA">
              <w:rPr>
                <w:rFonts w:ascii="Arial" w:eastAsia="Times New Roman" w:hAnsi="Arial" w:cs="Arial"/>
                <w:b/>
                <w:i/>
                <w:color w:val="000000" w:themeColor="text1"/>
                <w:u w:val="single"/>
                <w:lang w:eastAsia="en-GB"/>
              </w:rPr>
              <w:t xml:space="preserve">   of which: corporate exposures (unrated) - non-SMEs (risk-sensitive approach)</w:t>
            </w:r>
          </w:p>
          <w:p w14:paraId="4885C2BA" w14:textId="5B7BD102" w:rsidR="00E477C3" w:rsidRPr="00BB79FA" w:rsidRDefault="00E477C3" w:rsidP="00E477C3">
            <w:pPr>
              <w:rPr>
                <w:rFonts w:ascii="Arial" w:eastAsia="Times New Roman" w:hAnsi="Arial" w:cs="Arial"/>
                <w:b/>
                <w:bCs/>
                <w:i/>
                <w:color w:val="000000" w:themeColor="text1"/>
                <w:lang w:eastAsia="en-GB"/>
              </w:rPr>
            </w:pPr>
          </w:p>
          <w:p w14:paraId="237F8786" w14:textId="6BEC01C6" w:rsidR="00E477C3" w:rsidRPr="00BB79FA" w:rsidRDefault="00E477C3" w:rsidP="00E477C3">
            <w:pPr>
              <w:rPr>
                <w:rFonts w:ascii="Arial" w:eastAsia="Times New Roman" w:hAnsi="Arial" w:cs="Arial"/>
                <w:i/>
                <w:iCs/>
                <w:color w:val="000000" w:themeColor="text1"/>
                <w:lang w:eastAsia="en-GB"/>
              </w:rPr>
            </w:pPr>
            <w:r w:rsidRPr="00BB79FA">
              <w:rPr>
                <w:rFonts w:ascii="Arial" w:eastAsia="Times New Roman" w:hAnsi="Arial" w:cs="Arial"/>
                <w:i/>
                <w:iCs/>
                <w:color w:val="000000" w:themeColor="text1"/>
                <w:lang w:eastAsia="en-GB"/>
              </w:rPr>
              <w:t>Sub-total row of following rows: 221 and 222.</w:t>
            </w:r>
          </w:p>
          <w:p w14:paraId="7510B6C8" w14:textId="77777777" w:rsidR="00E477C3" w:rsidRPr="00BB79FA" w:rsidRDefault="00E477C3" w:rsidP="00E477C3">
            <w:pPr>
              <w:rPr>
                <w:rFonts w:ascii="Arial" w:eastAsia="Times New Roman" w:hAnsi="Arial" w:cs="Arial"/>
                <w:i/>
                <w:iCs/>
                <w:color w:val="000000" w:themeColor="text1"/>
                <w:lang w:eastAsia="en-GB"/>
              </w:rPr>
            </w:pPr>
          </w:p>
          <w:p w14:paraId="4FEC7F4D" w14:textId="114BA0A4" w:rsidR="00E477C3" w:rsidRPr="00BB79FA" w:rsidRDefault="00E477C3" w:rsidP="00E477C3">
            <w:pPr>
              <w:rPr>
                <w:rFonts w:ascii="Arial" w:eastAsia="Times New Roman" w:hAnsi="Arial" w:cs="Arial"/>
                <w:i/>
                <w:iCs/>
                <w:color w:val="000000" w:themeColor="text1"/>
                <w:lang w:eastAsia="en-GB"/>
              </w:rPr>
            </w:pPr>
            <w:r w:rsidRPr="00BB79FA">
              <w:rPr>
                <w:rFonts w:ascii="Arial" w:eastAsia="Times New Roman" w:hAnsi="Arial" w:cs="Arial"/>
                <w:i/>
                <w:iCs/>
                <w:color w:val="000000" w:themeColor="text1"/>
                <w:lang w:eastAsia="en-GB"/>
              </w:rPr>
              <w:t>This row will be calculated by a formula, forms do not need to report here.</w:t>
            </w:r>
          </w:p>
          <w:p w14:paraId="1F5A22DF" w14:textId="09A29F91" w:rsidR="00E477C3" w:rsidRPr="00BB79FA" w:rsidRDefault="00E477C3" w:rsidP="00E477C3">
            <w:pPr>
              <w:pStyle w:val="ListParagraph"/>
              <w:rPr>
                <w:rFonts w:ascii="Arial" w:eastAsia="Times New Roman" w:hAnsi="Arial" w:cs="Arial"/>
                <w:b/>
                <w:bCs/>
                <w:i/>
                <w:color w:val="000000" w:themeColor="text1"/>
                <w:lang w:eastAsia="en-GB"/>
              </w:rPr>
            </w:pPr>
          </w:p>
        </w:tc>
      </w:tr>
      <w:tr w:rsidR="00E477C3" w:rsidRPr="00BB79FA" w14:paraId="4D8C5256" w14:textId="77777777" w:rsidTr="00E00D98">
        <w:trPr>
          <w:trHeight w:val="276"/>
        </w:trPr>
        <w:tc>
          <w:tcPr>
            <w:tcW w:w="756" w:type="dxa"/>
            <w:noWrap/>
            <w:hideMark/>
          </w:tcPr>
          <w:p w14:paraId="5C35ADEE" w14:textId="73F58CCD" w:rsidR="00E477C3" w:rsidRPr="00BB79FA" w:rsidRDefault="00E477C3" w:rsidP="00E477C3">
            <w:pPr>
              <w:rPr>
                <w:rFonts w:ascii="Arial" w:eastAsia="Times New Roman" w:hAnsi="Arial" w:cs="Arial"/>
                <w:color w:val="000000"/>
                <w:lang w:eastAsia="en-GB"/>
              </w:rPr>
            </w:pPr>
            <w:r w:rsidRPr="00BB79FA">
              <w:rPr>
                <w:rFonts w:ascii="Arial" w:eastAsia="Times New Roman" w:hAnsi="Arial" w:cs="Arial"/>
                <w:color w:val="000000"/>
                <w:lang w:eastAsia="en-GB"/>
              </w:rPr>
              <w:t>221</w:t>
            </w:r>
          </w:p>
        </w:tc>
        <w:tc>
          <w:tcPr>
            <w:tcW w:w="7667" w:type="dxa"/>
            <w:noWrap/>
            <w:hideMark/>
          </w:tcPr>
          <w:p w14:paraId="1766990E" w14:textId="163ACBD2" w:rsidR="00E477C3" w:rsidRPr="00BB79FA" w:rsidRDefault="00E477C3" w:rsidP="00E477C3">
            <w:pPr>
              <w:rPr>
                <w:rFonts w:ascii="Arial" w:eastAsia="Times New Roman" w:hAnsi="Arial" w:cs="Arial"/>
                <w:i/>
                <w:color w:val="000000" w:themeColor="text1"/>
                <w:u w:val="single"/>
                <w:lang w:eastAsia="en-GB"/>
              </w:rPr>
            </w:pPr>
            <w:r w:rsidRPr="00BB79FA">
              <w:rPr>
                <w:rFonts w:ascii="Arial" w:eastAsia="Times New Roman" w:hAnsi="Arial" w:cs="Arial"/>
                <w:i/>
                <w:color w:val="000000" w:themeColor="text1"/>
                <w:u w:val="single"/>
                <w:lang w:eastAsia="en-GB"/>
              </w:rPr>
              <w:t xml:space="preserve">      of which: assigned a RW of 65%</w:t>
            </w:r>
          </w:p>
          <w:p w14:paraId="6916AE6B" w14:textId="2004554E" w:rsidR="00E477C3" w:rsidRPr="00BB79FA" w:rsidRDefault="00E477C3" w:rsidP="00E477C3">
            <w:pPr>
              <w:rPr>
                <w:rFonts w:ascii="Arial" w:eastAsia="Times New Roman" w:hAnsi="Arial" w:cs="Arial"/>
                <w:i/>
                <w:color w:val="000000" w:themeColor="text1"/>
                <w:lang w:eastAsia="en-GB"/>
              </w:rPr>
            </w:pPr>
          </w:p>
          <w:p w14:paraId="05135D19" w14:textId="4D027A9A" w:rsidR="00E477C3" w:rsidRPr="00BB79FA" w:rsidRDefault="00E477C3" w:rsidP="00E477C3">
            <w:pPr>
              <w:rPr>
                <w:rFonts w:ascii="Arial" w:eastAsia="Times New Roman" w:hAnsi="Arial" w:cs="Arial"/>
                <w:i/>
                <w:color w:val="000000" w:themeColor="text1"/>
                <w:lang w:eastAsia="en-GB"/>
              </w:rPr>
            </w:pPr>
            <w:r w:rsidRPr="00BB79FA">
              <w:rPr>
                <w:rFonts w:ascii="Arial" w:eastAsia="Times New Roman" w:hAnsi="Arial" w:cs="Arial"/>
                <w:i/>
                <w:color w:val="000000" w:themeColor="text1"/>
                <w:lang w:eastAsia="en-GB"/>
              </w:rPr>
              <w:t xml:space="preserve">Firms should report this row if they apply the ‘risk sensitive approach’ to corporate exposures. </w:t>
            </w:r>
          </w:p>
          <w:p w14:paraId="15D60AED" w14:textId="77777777" w:rsidR="00E477C3" w:rsidRPr="00BB79FA" w:rsidRDefault="00E477C3" w:rsidP="00E477C3">
            <w:pPr>
              <w:rPr>
                <w:rFonts w:ascii="Arial" w:eastAsia="Times New Roman" w:hAnsi="Arial" w:cs="Arial"/>
                <w:i/>
                <w:color w:val="000000" w:themeColor="text1"/>
                <w:lang w:eastAsia="en-GB"/>
              </w:rPr>
            </w:pPr>
          </w:p>
          <w:p w14:paraId="2301C004" w14:textId="50D81E7F" w:rsidR="00E477C3" w:rsidRPr="00BB79FA" w:rsidRDefault="0027160D" w:rsidP="00E477C3">
            <w:pPr>
              <w:rPr>
                <w:rFonts w:ascii="Arial" w:eastAsia="Times New Roman" w:hAnsi="Arial" w:cs="Arial"/>
                <w:i/>
                <w:iCs/>
                <w:color w:val="000000" w:themeColor="text1"/>
                <w:lang w:eastAsia="en-GB"/>
              </w:rPr>
            </w:pPr>
            <w:r w:rsidRPr="00BB79FA">
              <w:rPr>
                <w:rFonts w:ascii="Arial" w:eastAsia="Times New Roman" w:hAnsi="Arial" w:cs="Arial"/>
                <w:i/>
                <w:iCs/>
                <w:color w:val="000000" w:themeColor="text1"/>
                <w:lang w:eastAsia="en-GB"/>
              </w:rPr>
              <w:lastRenderedPageBreak/>
              <w:t>Only e</w:t>
            </w:r>
            <w:r w:rsidR="00E477C3" w:rsidRPr="00BB79FA">
              <w:rPr>
                <w:rFonts w:ascii="Arial" w:eastAsia="Times New Roman" w:hAnsi="Arial" w:cs="Arial"/>
                <w:i/>
                <w:iCs/>
                <w:color w:val="000000" w:themeColor="text1"/>
                <w:lang w:eastAsia="en-GB"/>
              </w:rPr>
              <w:t>xposures that are assigned a risk weight of 65% under Article 122(6)(a) of the Credit Risk: Standardised Approach (CRR) Part shall be reported here.</w:t>
            </w:r>
          </w:p>
          <w:p w14:paraId="791EE864" w14:textId="77777777" w:rsidR="00E477C3" w:rsidRPr="00BB79FA" w:rsidRDefault="00E477C3" w:rsidP="00E477C3">
            <w:pPr>
              <w:rPr>
                <w:rFonts w:ascii="Arial" w:eastAsia="Times New Roman" w:hAnsi="Arial" w:cs="Arial"/>
                <w:i/>
                <w:color w:val="000000" w:themeColor="text1"/>
                <w:lang w:eastAsia="en-GB"/>
              </w:rPr>
            </w:pPr>
          </w:p>
          <w:p w14:paraId="1F0D5395" w14:textId="23A51950" w:rsidR="00E477C3" w:rsidRPr="00BB79FA" w:rsidRDefault="00E477C3" w:rsidP="00E477C3">
            <w:pPr>
              <w:rPr>
                <w:rFonts w:ascii="Arial" w:eastAsia="Times New Roman" w:hAnsi="Arial" w:cs="Arial"/>
                <w:i/>
                <w:color w:val="000000" w:themeColor="text1"/>
                <w:lang w:eastAsia="en-GB"/>
              </w:rPr>
            </w:pPr>
            <w:r w:rsidRPr="00BB79FA">
              <w:rPr>
                <w:rFonts w:ascii="Arial" w:eastAsia="Times New Roman" w:hAnsi="Arial" w:cs="Arial"/>
                <w:i/>
                <w:color w:val="000000" w:themeColor="text1"/>
                <w:lang w:eastAsia="en-GB"/>
              </w:rPr>
              <w:t>Firms reporting this row should not report any exposures in row 0230.</w:t>
            </w:r>
          </w:p>
          <w:p w14:paraId="125E7A73" w14:textId="6058A63B" w:rsidR="00E477C3" w:rsidRPr="00BB79FA" w:rsidRDefault="00E477C3" w:rsidP="00E477C3">
            <w:pPr>
              <w:rPr>
                <w:rFonts w:ascii="Arial" w:eastAsia="Times New Roman" w:hAnsi="Arial" w:cs="Arial"/>
                <w:i/>
                <w:color w:val="000000" w:themeColor="text1"/>
                <w:lang w:eastAsia="en-GB"/>
              </w:rPr>
            </w:pPr>
          </w:p>
        </w:tc>
      </w:tr>
      <w:tr w:rsidR="00E477C3" w:rsidRPr="00BB79FA" w14:paraId="316FB81A" w14:textId="77777777" w:rsidTr="00E00D98">
        <w:trPr>
          <w:trHeight w:val="276"/>
        </w:trPr>
        <w:tc>
          <w:tcPr>
            <w:tcW w:w="756" w:type="dxa"/>
            <w:noWrap/>
            <w:hideMark/>
          </w:tcPr>
          <w:p w14:paraId="1B3F8ECD" w14:textId="47092434" w:rsidR="00E477C3" w:rsidRPr="00BB79FA" w:rsidRDefault="00E477C3" w:rsidP="00E477C3">
            <w:pPr>
              <w:rPr>
                <w:rFonts w:ascii="Arial" w:eastAsia="Times New Roman" w:hAnsi="Arial" w:cs="Arial"/>
                <w:color w:val="000000"/>
                <w:lang w:eastAsia="en-GB"/>
              </w:rPr>
            </w:pPr>
            <w:r w:rsidRPr="00BB79FA">
              <w:rPr>
                <w:rFonts w:ascii="Arial" w:eastAsia="Times New Roman" w:hAnsi="Arial" w:cs="Arial"/>
                <w:color w:val="000000"/>
                <w:lang w:eastAsia="en-GB"/>
              </w:rPr>
              <w:lastRenderedPageBreak/>
              <w:t>222</w:t>
            </w:r>
          </w:p>
        </w:tc>
        <w:tc>
          <w:tcPr>
            <w:tcW w:w="7667" w:type="dxa"/>
            <w:noWrap/>
            <w:hideMark/>
          </w:tcPr>
          <w:p w14:paraId="128B5BF6" w14:textId="1B71836F" w:rsidR="00E477C3" w:rsidRPr="00BB79FA" w:rsidRDefault="00E477C3" w:rsidP="00E477C3">
            <w:pPr>
              <w:rPr>
                <w:rFonts w:ascii="Arial" w:eastAsia="Times New Roman" w:hAnsi="Arial" w:cs="Arial"/>
                <w:i/>
                <w:color w:val="000000" w:themeColor="text1"/>
                <w:u w:val="single"/>
                <w:lang w:eastAsia="en-GB"/>
              </w:rPr>
            </w:pPr>
            <w:r w:rsidRPr="00BB79FA">
              <w:rPr>
                <w:rFonts w:ascii="Arial" w:eastAsia="Times New Roman" w:hAnsi="Arial" w:cs="Arial"/>
                <w:i/>
                <w:color w:val="000000" w:themeColor="text1"/>
                <w:u w:val="single"/>
                <w:lang w:eastAsia="en-GB"/>
              </w:rPr>
              <w:t xml:space="preserve">      of which: assigned a RW of 135%</w:t>
            </w:r>
          </w:p>
          <w:p w14:paraId="0A9CA958" w14:textId="77777777" w:rsidR="00E477C3" w:rsidRPr="00BB79FA" w:rsidRDefault="00E477C3" w:rsidP="00E477C3">
            <w:pPr>
              <w:rPr>
                <w:rFonts w:ascii="Arial" w:eastAsia="Times New Roman" w:hAnsi="Arial" w:cs="Arial"/>
                <w:i/>
                <w:color w:val="000000" w:themeColor="text1"/>
                <w:u w:val="single"/>
                <w:lang w:eastAsia="en-GB"/>
              </w:rPr>
            </w:pPr>
          </w:p>
          <w:p w14:paraId="1D534393" w14:textId="42B07249" w:rsidR="00E477C3" w:rsidRPr="00BB79FA" w:rsidRDefault="00E477C3" w:rsidP="00E477C3">
            <w:pPr>
              <w:rPr>
                <w:rFonts w:ascii="Arial" w:eastAsia="Times New Roman" w:hAnsi="Arial" w:cs="Arial"/>
                <w:i/>
                <w:color w:val="000000" w:themeColor="text1"/>
                <w:lang w:eastAsia="en-GB"/>
              </w:rPr>
            </w:pPr>
            <w:r w:rsidRPr="00BB79FA">
              <w:rPr>
                <w:rFonts w:ascii="Arial" w:eastAsia="Times New Roman" w:hAnsi="Arial" w:cs="Arial"/>
                <w:i/>
                <w:color w:val="000000" w:themeColor="text1"/>
                <w:lang w:eastAsia="en-GB"/>
              </w:rPr>
              <w:t xml:space="preserve">Firms should report this row if they apply the ‘risk sensitive approach’ to corporate exposures. </w:t>
            </w:r>
          </w:p>
          <w:p w14:paraId="2A4C3F29" w14:textId="5AF1D4EA" w:rsidR="00E477C3" w:rsidRPr="00BB79FA" w:rsidRDefault="00E477C3" w:rsidP="00E477C3">
            <w:pPr>
              <w:rPr>
                <w:rFonts w:ascii="Arial" w:eastAsia="Times New Roman" w:hAnsi="Arial" w:cs="Arial"/>
                <w:i/>
                <w:color w:val="000000" w:themeColor="text1"/>
                <w:lang w:eastAsia="en-GB"/>
              </w:rPr>
            </w:pPr>
          </w:p>
          <w:p w14:paraId="14B9C7DE" w14:textId="3CEB43E5" w:rsidR="00E477C3" w:rsidRPr="00BB79FA" w:rsidRDefault="0027160D" w:rsidP="00E477C3">
            <w:pPr>
              <w:rPr>
                <w:rFonts w:ascii="Arial" w:eastAsia="Times New Roman" w:hAnsi="Arial" w:cs="Arial"/>
                <w:i/>
                <w:iCs/>
                <w:color w:val="000000" w:themeColor="text1"/>
                <w:lang w:eastAsia="en-GB"/>
              </w:rPr>
            </w:pPr>
            <w:r w:rsidRPr="00BB79FA">
              <w:rPr>
                <w:rFonts w:ascii="Arial" w:eastAsia="Times New Roman" w:hAnsi="Arial" w:cs="Arial"/>
                <w:i/>
                <w:iCs/>
                <w:color w:val="000000" w:themeColor="text1"/>
                <w:lang w:eastAsia="en-GB"/>
              </w:rPr>
              <w:t xml:space="preserve">Only exposures </w:t>
            </w:r>
            <w:r w:rsidR="00E477C3" w:rsidRPr="00BB79FA">
              <w:rPr>
                <w:rFonts w:ascii="Arial" w:eastAsia="Times New Roman" w:hAnsi="Arial" w:cs="Arial"/>
                <w:i/>
                <w:iCs/>
                <w:color w:val="000000" w:themeColor="text1"/>
                <w:lang w:eastAsia="en-GB"/>
              </w:rPr>
              <w:t xml:space="preserve">that are assigned a risk weight of 135% under Article 122(6)(b) of the Credit Risk: Standardised Approach (CRR) Part shall be reported here. </w:t>
            </w:r>
          </w:p>
          <w:p w14:paraId="0E025EBC" w14:textId="77777777" w:rsidR="00E477C3" w:rsidRPr="00BB79FA" w:rsidRDefault="00E477C3" w:rsidP="00E477C3">
            <w:pPr>
              <w:pStyle w:val="ListParagraph"/>
              <w:rPr>
                <w:rFonts w:ascii="Arial" w:eastAsia="Times New Roman" w:hAnsi="Arial" w:cs="Arial"/>
                <w:i/>
                <w:iCs/>
                <w:color w:val="000000" w:themeColor="text1"/>
                <w:lang w:eastAsia="en-GB"/>
              </w:rPr>
            </w:pPr>
          </w:p>
          <w:p w14:paraId="19CC8159" w14:textId="51477828" w:rsidR="00E477C3" w:rsidRPr="00BB79FA" w:rsidRDefault="00E477C3" w:rsidP="00E477C3">
            <w:pPr>
              <w:rPr>
                <w:rFonts w:ascii="Arial" w:eastAsia="Times New Roman" w:hAnsi="Arial" w:cs="Arial"/>
                <w:i/>
                <w:color w:val="000000" w:themeColor="text1"/>
                <w:lang w:eastAsia="en-GB"/>
              </w:rPr>
            </w:pPr>
            <w:r w:rsidRPr="00BB79FA">
              <w:rPr>
                <w:rFonts w:ascii="Arial" w:eastAsia="Times New Roman" w:hAnsi="Arial" w:cs="Arial"/>
                <w:i/>
                <w:color w:val="000000" w:themeColor="text1"/>
                <w:lang w:eastAsia="en-GB"/>
              </w:rPr>
              <w:t>Firms reporting this row should not report any exposures in row 0230.</w:t>
            </w:r>
          </w:p>
          <w:p w14:paraId="705614FA" w14:textId="7654BB3F" w:rsidR="00E477C3" w:rsidRPr="00BB79FA" w:rsidRDefault="00E477C3" w:rsidP="00E477C3">
            <w:pPr>
              <w:rPr>
                <w:rFonts w:ascii="Arial" w:eastAsia="Times New Roman" w:hAnsi="Arial" w:cs="Arial"/>
                <w:i/>
                <w:color w:val="000000" w:themeColor="text1"/>
                <w:lang w:eastAsia="en-GB"/>
              </w:rPr>
            </w:pPr>
          </w:p>
        </w:tc>
      </w:tr>
      <w:tr w:rsidR="00E477C3" w:rsidRPr="00BB79FA" w14:paraId="04CA5AD0" w14:textId="77777777" w:rsidTr="00E00D98">
        <w:trPr>
          <w:trHeight w:val="276"/>
        </w:trPr>
        <w:tc>
          <w:tcPr>
            <w:tcW w:w="756" w:type="dxa"/>
            <w:noWrap/>
            <w:hideMark/>
          </w:tcPr>
          <w:p w14:paraId="25F68BE6" w14:textId="3D6CD21C" w:rsidR="00E477C3" w:rsidRPr="00BB79FA" w:rsidRDefault="00E477C3" w:rsidP="00E477C3">
            <w:pPr>
              <w:rPr>
                <w:rFonts w:ascii="Arial" w:eastAsia="Times New Roman" w:hAnsi="Arial" w:cs="Arial"/>
                <w:color w:val="000000"/>
                <w:lang w:eastAsia="en-GB"/>
              </w:rPr>
            </w:pPr>
            <w:r w:rsidRPr="00BB79FA">
              <w:rPr>
                <w:rFonts w:ascii="Arial" w:eastAsia="Times New Roman" w:hAnsi="Arial" w:cs="Arial"/>
                <w:color w:val="000000"/>
                <w:lang w:eastAsia="en-GB"/>
              </w:rPr>
              <w:t>230</w:t>
            </w:r>
          </w:p>
        </w:tc>
        <w:tc>
          <w:tcPr>
            <w:tcW w:w="7667" w:type="dxa"/>
            <w:noWrap/>
            <w:hideMark/>
          </w:tcPr>
          <w:p w14:paraId="3803CEC9" w14:textId="77777777" w:rsidR="00E477C3" w:rsidRPr="00BB79FA" w:rsidRDefault="00E477C3" w:rsidP="00E477C3">
            <w:pPr>
              <w:rPr>
                <w:rFonts w:ascii="Arial" w:eastAsia="Times New Roman" w:hAnsi="Arial" w:cs="Arial"/>
                <w:b/>
                <w:i/>
                <w:color w:val="000000" w:themeColor="text1"/>
                <w:u w:val="single"/>
                <w:lang w:eastAsia="en-GB"/>
              </w:rPr>
            </w:pPr>
            <w:r w:rsidRPr="00BB79FA">
              <w:rPr>
                <w:rFonts w:ascii="Arial" w:eastAsia="Times New Roman" w:hAnsi="Arial" w:cs="Arial"/>
                <w:i/>
                <w:color w:val="000000" w:themeColor="text1"/>
                <w:u w:val="single"/>
                <w:lang w:eastAsia="en-GB"/>
              </w:rPr>
              <w:t xml:space="preserve">   </w:t>
            </w:r>
            <w:r w:rsidRPr="00BB79FA">
              <w:rPr>
                <w:rFonts w:ascii="Arial" w:eastAsia="Times New Roman" w:hAnsi="Arial" w:cs="Arial"/>
                <w:b/>
                <w:i/>
                <w:color w:val="000000" w:themeColor="text1"/>
                <w:u w:val="single"/>
                <w:lang w:eastAsia="en-GB"/>
              </w:rPr>
              <w:t>of which: corporate exposures (unrated) - non-SMEs (risk-neutral approach)</w:t>
            </w:r>
          </w:p>
          <w:p w14:paraId="557BED4D" w14:textId="77777777" w:rsidR="00E477C3" w:rsidRPr="00BB79FA" w:rsidRDefault="00E477C3" w:rsidP="00E477C3">
            <w:pPr>
              <w:rPr>
                <w:rFonts w:ascii="Arial" w:eastAsia="Times New Roman" w:hAnsi="Arial" w:cs="Arial"/>
                <w:i/>
                <w:color w:val="000000" w:themeColor="text1"/>
                <w:lang w:eastAsia="en-GB"/>
              </w:rPr>
            </w:pPr>
          </w:p>
          <w:p w14:paraId="5F28F90F" w14:textId="3BE5AD96" w:rsidR="00E477C3" w:rsidRPr="00BB79FA" w:rsidRDefault="00E477C3" w:rsidP="00E477C3">
            <w:pPr>
              <w:rPr>
                <w:rFonts w:ascii="Arial" w:eastAsia="Times New Roman" w:hAnsi="Arial" w:cs="Arial"/>
                <w:i/>
                <w:color w:val="000000" w:themeColor="text1"/>
                <w:lang w:eastAsia="en-GB"/>
              </w:rPr>
            </w:pPr>
            <w:r w:rsidRPr="00BB79FA">
              <w:rPr>
                <w:rFonts w:ascii="Arial" w:eastAsia="Times New Roman" w:hAnsi="Arial" w:cs="Arial"/>
                <w:i/>
                <w:color w:val="000000" w:themeColor="text1"/>
                <w:lang w:eastAsia="en-GB"/>
              </w:rPr>
              <w:t xml:space="preserve">Firms should report this row if they </w:t>
            </w:r>
            <w:r w:rsidR="0027160D" w:rsidRPr="00BB79FA">
              <w:rPr>
                <w:rFonts w:ascii="Arial" w:eastAsia="Times New Roman" w:hAnsi="Arial" w:cs="Arial"/>
                <w:i/>
                <w:color w:val="000000" w:themeColor="text1"/>
                <w:lang w:eastAsia="en-GB"/>
              </w:rPr>
              <w:t xml:space="preserve">do not </w:t>
            </w:r>
            <w:r w:rsidRPr="00BB79FA">
              <w:rPr>
                <w:rFonts w:ascii="Arial" w:eastAsia="Times New Roman" w:hAnsi="Arial" w:cs="Arial"/>
                <w:i/>
                <w:color w:val="000000" w:themeColor="text1"/>
                <w:lang w:eastAsia="en-GB"/>
              </w:rPr>
              <w:t xml:space="preserve">apply the ‘risk sensitive approach’ to corporate exposures. </w:t>
            </w:r>
          </w:p>
          <w:p w14:paraId="20B02CFF" w14:textId="77777777" w:rsidR="00E477C3" w:rsidRPr="00BB79FA" w:rsidRDefault="00E477C3" w:rsidP="00E477C3">
            <w:pPr>
              <w:rPr>
                <w:rFonts w:ascii="Arial" w:eastAsia="Times New Roman" w:hAnsi="Arial" w:cs="Arial"/>
                <w:i/>
                <w:color w:val="000000" w:themeColor="text1"/>
                <w:lang w:eastAsia="en-GB"/>
              </w:rPr>
            </w:pPr>
          </w:p>
          <w:p w14:paraId="16484A04" w14:textId="177E355D" w:rsidR="00E477C3" w:rsidRPr="00BB79FA" w:rsidRDefault="00B56A40" w:rsidP="00E477C3">
            <w:pPr>
              <w:rPr>
                <w:rFonts w:ascii="Arial" w:eastAsia="Times New Roman" w:hAnsi="Arial" w:cs="Arial"/>
                <w:i/>
                <w:iCs/>
                <w:color w:val="000000" w:themeColor="text1"/>
                <w:lang w:eastAsia="en-GB"/>
              </w:rPr>
            </w:pPr>
            <w:r w:rsidRPr="00BB79FA">
              <w:rPr>
                <w:rFonts w:ascii="Arial" w:eastAsia="Times New Roman" w:hAnsi="Arial" w:cs="Arial"/>
                <w:i/>
                <w:iCs/>
                <w:color w:val="000000" w:themeColor="text1"/>
                <w:lang w:eastAsia="en-GB"/>
              </w:rPr>
              <w:t>Only e</w:t>
            </w:r>
            <w:r w:rsidR="00E477C3" w:rsidRPr="00BB79FA">
              <w:rPr>
                <w:rFonts w:ascii="Arial" w:eastAsia="Times New Roman" w:hAnsi="Arial" w:cs="Arial"/>
                <w:i/>
                <w:iCs/>
                <w:color w:val="000000" w:themeColor="text1"/>
                <w:lang w:eastAsia="en-GB"/>
              </w:rPr>
              <w:t>xposures that are assigned a risk weight of 100% under Article 122(5) of the Credit Risk: Standardised Approach (CRR) Part shall be reported here.</w:t>
            </w:r>
          </w:p>
          <w:p w14:paraId="26C830BA" w14:textId="7D013A18" w:rsidR="00E477C3" w:rsidRPr="00BB79FA" w:rsidRDefault="00E477C3" w:rsidP="00E477C3">
            <w:pPr>
              <w:rPr>
                <w:rFonts w:ascii="Arial" w:eastAsia="Times New Roman" w:hAnsi="Arial" w:cs="Arial"/>
                <w:i/>
                <w:iCs/>
                <w:color w:val="000000" w:themeColor="text1"/>
                <w:lang w:eastAsia="en-GB"/>
              </w:rPr>
            </w:pPr>
          </w:p>
          <w:p w14:paraId="2391B622" w14:textId="22BD1F63" w:rsidR="00E477C3" w:rsidRPr="00BB79FA" w:rsidRDefault="00E477C3" w:rsidP="00E477C3">
            <w:pPr>
              <w:rPr>
                <w:rFonts w:ascii="Arial" w:eastAsia="Times New Roman" w:hAnsi="Arial" w:cs="Arial"/>
                <w:i/>
                <w:iCs/>
                <w:color w:val="000000" w:themeColor="text1"/>
                <w:lang w:eastAsia="en-GB"/>
              </w:rPr>
            </w:pPr>
            <w:r w:rsidRPr="00BB79FA">
              <w:rPr>
                <w:rFonts w:ascii="Arial" w:eastAsia="Times New Roman" w:hAnsi="Arial" w:cs="Arial"/>
                <w:i/>
                <w:iCs/>
                <w:color w:val="000000" w:themeColor="text1"/>
                <w:lang w:eastAsia="en-GB"/>
              </w:rPr>
              <w:t>Firms reporting this row should not report any exposures in rows 2</w:t>
            </w:r>
            <w:r w:rsidR="0097632F" w:rsidRPr="00BB79FA">
              <w:rPr>
                <w:rFonts w:ascii="Arial" w:eastAsia="Times New Roman" w:hAnsi="Arial" w:cs="Arial"/>
                <w:i/>
                <w:iCs/>
                <w:color w:val="000000" w:themeColor="text1"/>
                <w:lang w:eastAsia="en-GB"/>
              </w:rPr>
              <w:t>2</w:t>
            </w:r>
            <w:r w:rsidRPr="00BB79FA">
              <w:rPr>
                <w:rFonts w:ascii="Arial" w:eastAsia="Times New Roman" w:hAnsi="Arial" w:cs="Arial"/>
                <w:i/>
                <w:iCs/>
                <w:color w:val="000000" w:themeColor="text1"/>
                <w:lang w:eastAsia="en-GB"/>
              </w:rPr>
              <w:t>1 and 2</w:t>
            </w:r>
            <w:r w:rsidR="0097632F" w:rsidRPr="00BB79FA">
              <w:rPr>
                <w:rFonts w:ascii="Arial" w:eastAsia="Times New Roman" w:hAnsi="Arial" w:cs="Arial"/>
                <w:i/>
                <w:iCs/>
                <w:color w:val="000000" w:themeColor="text1"/>
                <w:lang w:eastAsia="en-GB"/>
              </w:rPr>
              <w:t>2</w:t>
            </w:r>
            <w:r w:rsidRPr="00BB79FA">
              <w:rPr>
                <w:rFonts w:ascii="Arial" w:eastAsia="Times New Roman" w:hAnsi="Arial" w:cs="Arial"/>
                <w:i/>
                <w:iCs/>
                <w:color w:val="000000" w:themeColor="text1"/>
                <w:lang w:eastAsia="en-GB"/>
              </w:rPr>
              <w:t>2.</w:t>
            </w:r>
          </w:p>
          <w:p w14:paraId="7E61B0D8" w14:textId="78755738" w:rsidR="00E477C3" w:rsidRPr="00BB79FA" w:rsidRDefault="00E477C3" w:rsidP="00E477C3">
            <w:pPr>
              <w:rPr>
                <w:rFonts w:ascii="Arial" w:eastAsia="Times New Roman" w:hAnsi="Arial" w:cs="Arial"/>
                <w:i/>
                <w:color w:val="000000" w:themeColor="text1"/>
                <w:lang w:eastAsia="en-GB"/>
              </w:rPr>
            </w:pPr>
          </w:p>
        </w:tc>
      </w:tr>
      <w:tr w:rsidR="00E477C3" w:rsidRPr="00BB79FA" w14:paraId="1E64530C" w14:textId="77777777" w:rsidTr="00E00D98">
        <w:trPr>
          <w:trHeight w:val="276"/>
        </w:trPr>
        <w:tc>
          <w:tcPr>
            <w:tcW w:w="756" w:type="dxa"/>
            <w:noWrap/>
            <w:hideMark/>
          </w:tcPr>
          <w:p w14:paraId="6FBA5719" w14:textId="4A6CFB4C" w:rsidR="00E477C3" w:rsidRPr="00BB79FA" w:rsidRDefault="00E477C3" w:rsidP="00E477C3">
            <w:pPr>
              <w:rPr>
                <w:rFonts w:ascii="Arial" w:eastAsia="Times New Roman" w:hAnsi="Arial" w:cs="Arial"/>
                <w:color w:val="000000"/>
                <w:lang w:eastAsia="en-GB"/>
              </w:rPr>
            </w:pPr>
            <w:r w:rsidRPr="00BB79FA">
              <w:rPr>
                <w:rFonts w:ascii="Arial" w:eastAsia="Times New Roman" w:hAnsi="Arial" w:cs="Arial"/>
                <w:color w:val="000000"/>
                <w:lang w:eastAsia="en-GB"/>
              </w:rPr>
              <w:t>240</w:t>
            </w:r>
          </w:p>
        </w:tc>
        <w:tc>
          <w:tcPr>
            <w:tcW w:w="7667" w:type="dxa"/>
            <w:noWrap/>
            <w:hideMark/>
          </w:tcPr>
          <w:p w14:paraId="2E6F816D" w14:textId="77777777" w:rsidR="00E477C3" w:rsidRPr="00BB79FA" w:rsidRDefault="00E477C3" w:rsidP="00E477C3">
            <w:pPr>
              <w:rPr>
                <w:rFonts w:ascii="Arial" w:eastAsia="Times New Roman" w:hAnsi="Arial" w:cs="Arial"/>
                <w:b/>
                <w:i/>
                <w:color w:val="000000" w:themeColor="text1"/>
                <w:u w:val="single"/>
                <w:lang w:eastAsia="en-GB"/>
              </w:rPr>
            </w:pPr>
            <w:r w:rsidRPr="00BB79FA">
              <w:rPr>
                <w:rFonts w:ascii="Arial" w:eastAsia="Times New Roman" w:hAnsi="Arial" w:cs="Arial"/>
                <w:b/>
                <w:i/>
                <w:color w:val="000000" w:themeColor="text1"/>
                <w:u w:val="single"/>
                <w:lang w:eastAsia="en-GB"/>
              </w:rPr>
              <w:t xml:space="preserve">   of which: corporate exposures (rated) - non-SMEs</w:t>
            </w:r>
          </w:p>
          <w:p w14:paraId="4CCC20C7" w14:textId="77777777" w:rsidR="00E477C3" w:rsidRPr="00BB79FA" w:rsidRDefault="00E477C3" w:rsidP="00E477C3">
            <w:pPr>
              <w:rPr>
                <w:rFonts w:ascii="Arial" w:eastAsia="Times New Roman" w:hAnsi="Arial" w:cs="Arial"/>
                <w:b/>
                <w:bCs/>
                <w:i/>
                <w:color w:val="000000" w:themeColor="text1"/>
                <w:lang w:eastAsia="en-GB"/>
              </w:rPr>
            </w:pPr>
          </w:p>
          <w:p w14:paraId="040B2E83" w14:textId="6A730676" w:rsidR="00E477C3" w:rsidRPr="00BB79FA" w:rsidRDefault="00E477C3" w:rsidP="00E477C3">
            <w:pPr>
              <w:rPr>
                <w:rFonts w:ascii="Arial" w:eastAsia="Times New Roman" w:hAnsi="Arial" w:cs="Arial"/>
                <w:i/>
                <w:iCs/>
                <w:color w:val="000000" w:themeColor="text1"/>
                <w:lang w:eastAsia="en-GB"/>
              </w:rPr>
            </w:pPr>
            <w:r w:rsidRPr="00BB79FA">
              <w:rPr>
                <w:rFonts w:ascii="Arial" w:eastAsia="Times New Roman" w:hAnsi="Arial" w:cs="Arial"/>
                <w:i/>
                <w:iCs/>
                <w:color w:val="000000" w:themeColor="text1"/>
                <w:lang w:eastAsia="en-GB"/>
              </w:rPr>
              <w:t>Sub-total row of following rows: 241; 242; 243; 244 and 245.</w:t>
            </w:r>
          </w:p>
          <w:p w14:paraId="3C03FFFA" w14:textId="77777777" w:rsidR="00E477C3" w:rsidRPr="00BB79FA" w:rsidRDefault="00E477C3" w:rsidP="00E477C3">
            <w:pPr>
              <w:rPr>
                <w:rFonts w:ascii="Arial" w:eastAsia="Times New Roman" w:hAnsi="Arial" w:cs="Arial"/>
                <w:i/>
                <w:iCs/>
                <w:color w:val="000000" w:themeColor="text1"/>
                <w:lang w:eastAsia="en-GB"/>
              </w:rPr>
            </w:pPr>
          </w:p>
          <w:p w14:paraId="007FEFFE" w14:textId="77777777" w:rsidR="00E477C3" w:rsidRPr="00BB79FA" w:rsidRDefault="00E477C3" w:rsidP="00E477C3">
            <w:pPr>
              <w:rPr>
                <w:rFonts w:ascii="Arial" w:eastAsia="Times New Roman" w:hAnsi="Arial" w:cs="Arial"/>
                <w:i/>
                <w:iCs/>
                <w:color w:val="000000" w:themeColor="text1"/>
                <w:lang w:eastAsia="en-GB"/>
              </w:rPr>
            </w:pPr>
            <w:r w:rsidRPr="00BB79FA">
              <w:rPr>
                <w:rFonts w:ascii="Arial" w:eastAsia="Times New Roman" w:hAnsi="Arial" w:cs="Arial"/>
                <w:i/>
                <w:iCs/>
                <w:color w:val="000000" w:themeColor="text1"/>
                <w:lang w:eastAsia="en-GB"/>
              </w:rPr>
              <w:t>This row will be calculated by a formula, forms do not need to report here.</w:t>
            </w:r>
          </w:p>
          <w:p w14:paraId="5AAC4873" w14:textId="01238E0D" w:rsidR="00E477C3" w:rsidRPr="00BB79FA" w:rsidRDefault="00E477C3" w:rsidP="00E477C3">
            <w:pPr>
              <w:pStyle w:val="ListParagraph"/>
              <w:rPr>
                <w:rFonts w:ascii="Arial" w:eastAsia="Times New Roman" w:hAnsi="Arial" w:cs="Arial"/>
                <w:b/>
                <w:bCs/>
                <w:i/>
                <w:color w:val="000000" w:themeColor="text1"/>
                <w:lang w:eastAsia="en-GB"/>
              </w:rPr>
            </w:pPr>
          </w:p>
        </w:tc>
      </w:tr>
      <w:tr w:rsidR="00E477C3" w:rsidRPr="00BB79FA" w14:paraId="1EC179AE" w14:textId="77777777" w:rsidTr="00E00D98">
        <w:trPr>
          <w:trHeight w:val="276"/>
        </w:trPr>
        <w:tc>
          <w:tcPr>
            <w:tcW w:w="756" w:type="dxa"/>
            <w:noWrap/>
            <w:hideMark/>
          </w:tcPr>
          <w:p w14:paraId="09D2C316" w14:textId="02F77C85" w:rsidR="00E477C3" w:rsidRPr="00BB79FA" w:rsidRDefault="00E477C3" w:rsidP="00E477C3">
            <w:pPr>
              <w:rPr>
                <w:rFonts w:ascii="Arial" w:eastAsia="Times New Roman" w:hAnsi="Arial" w:cs="Arial"/>
                <w:color w:val="000000"/>
                <w:lang w:eastAsia="en-GB"/>
              </w:rPr>
            </w:pPr>
            <w:r w:rsidRPr="00BB79FA">
              <w:rPr>
                <w:rFonts w:ascii="Arial" w:eastAsia="Times New Roman" w:hAnsi="Arial" w:cs="Arial"/>
                <w:color w:val="000000"/>
                <w:lang w:eastAsia="en-GB"/>
              </w:rPr>
              <w:t>241</w:t>
            </w:r>
          </w:p>
        </w:tc>
        <w:tc>
          <w:tcPr>
            <w:tcW w:w="7667" w:type="dxa"/>
            <w:noWrap/>
            <w:hideMark/>
          </w:tcPr>
          <w:p w14:paraId="4A8D98C9" w14:textId="77777777" w:rsidR="00E477C3" w:rsidRPr="00BB79FA" w:rsidRDefault="00E477C3" w:rsidP="00E477C3">
            <w:pPr>
              <w:rPr>
                <w:rFonts w:ascii="Arial" w:eastAsia="Times New Roman" w:hAnsi="Arial" w:cs="Arial"/>
                <w:i/>
                <w:color w:val="000000" w:themeColor="text1"/>
                <w:u w:val="single"/>
                <w:lang w:eastAsia="en-GB"/>
              </w:rPr>
            </w:pPr>
            <w:r w:rsidRPr="00BB79FA">
              <w:rPr>
                <w:rFonts w:ascii="Arial" w:eastAsia="Times New Roman" w:hAnsi="Arial" w:cs="Arial"/>
                <w:i/>
                <w:color w:val="000000" w:themeColor="text1"/>
                <w:u w:val="single"/>
                <w:lang w:eastAsia="en-GB"/>
              </w:rPr>
              <w:t xml:space="preserve">      of which: assigned a RW of 20% </w:t>
            </w:r>
          </w:p>
          <w:p w14:paraId="57797D03" w14:textId="77777777" w:rsidR="00E477C3" w:rsidRPr="00BB79FA" w:rsidRDefault="00E477C3" w:rsidP="00E477C3">
            <w:pPr>
              <w:rPr>
                <w:rFonts w:ascii="Arial" w:eastAsia="Times New Roman" w:hAnsi="Arial" w:cs="Arial"/>
                <w:i/>
                <w:color w:val="000000" w:themeColor="text1"/>
                <w:lang w:eastAsia="en-GB"/>
              </w:rPr>
            </w:pPr>
          </w:p>
          <w:p w14:paraId="781C801A" w14:textId="22DE3E00" w:rsidR="00E477C3" w:rsidRPr="00BB79FA" w:rsidRDefault="00B56A40" w:rsidP="00E477C3">
            <w:pPr>
              <w:rPr>
                <w:rFonts w:ascii="Arial" w:eastAsia="Times New Roman" w:hAnsi="Arial" w:cs="Arial"/>
                <w:i/>
                <w:iCs/>
                <w:color w:val="000000" w:themeColor="text1"/>
                <w:lang w:eastAsia="en-GB"/>
              </w:rPr>
            </w:pPr>
            <w:r w:rsidRPr="00BB79FA">
              <w:rPr>
                <w:rFonts w:ascii="Arial" w:eastAsia="Times New Roman" w:hAnsi="Arial" w:cs="Arial"/>
                <w:i/>
                <w:iCs/>
                <w:color w:val="000000" w:themeColor="text1"/>
                <w:lang w:eastAsia="en-GB"/>
              </w:rPr>
              <w:t>Only e</w:t>
            </w:r>
            <w:r w:rsidR="00E477C3" w:rsidRPr="00BB79FA">
              <w:rPr>
                <w:rFonts w:ascii="Arial" w:eastAsia="Times New Roman" w:hAnsi="Arial" w:cs="Arial"/>
                <w:i/>
                <w:iCs/>
                <w:color w:val="000000" w:themeColor="text1"/>
                <w:lang w:eastAsia="en-GB"/>
              </w:rPr>
              <w:t>xposures to non-SME corporate</w:t>
            </w:r>
            <w:r w:rsidRPr="00BB79FA">
              <w:rPr>
                <w:rFonts w:ascii="Arial" w:eastAsia="Times New Roman" w:hAnsi="Arial" w:cs="Arial"/>
                <w:i/>
                <w:iCs/>
                <w:color w:val="000000" w:themeColor="text1"/>
                <w:lang w:eastAsia="en-GB"/>
              </w:rPr>
              <w:t>s</w:t>
            </w:r>
            <w:r w:rsidR="00E477C3" w:rsidRPr="00BB79FA">
              <w:rPr>
                <w:rFonts w:ascii="Arial" w:eastAsia="Times New Roman" w:hAnsi="Arial" w:cs="Arial"/>
                <w:i/>
                <w:iCs/>
                <w:color w:val="000000" w:themeColor="text1"/>
                <w:lang w:eastAsia="en-GB"/>
              </w:rPr>
              <w:t xml:space="preserve"> that are assigned a risk weight of 20% </w:t>
            </w:r>
            <w:r w:rsidR="00E477C3" w:rsidRPr="00BB79FA">
              <w:rPr>
                <w:rFonts w:ascii="Arial" w:eastAsia="Arial" w:hAnsi="Arial" w:cs="Arial"/>
                <w:i/>
                <w:color w:val="000000" w:themeColor="text1"/>
                <w:lang w:eastAsia="en-GB"/>
              </w:rPr>
              <w:t xml:space="preserve">in Table 6 or 6A </w:t>
            </w:r>
            <w:r w:rsidR="00E477C3" w:rsidRPr="00BB79FA">
              <w:rPr>
                <w:rFonts w:ascii="Arial" w:eastAsia="Times New Roman" w:hAnsi="Arial" w:cs="Arial"/>
                <w:i/>
                <w:iCs/>
                <w:color w:val="000000" w:themeColor="text1"/>
                <w:lang w:eastAsia="en-GB"/>
              </w:rPr>
              <w:t>under Article 122 of the Credit Risk: Standardised Approach (CRR) Part</w:t>
            </w:r>
            <w:r w:rsidRPr="00BB79FA">
              <w:rPr>
                <w:rFonts w:ascii="Arial" w:eastAsia="Times New Roman" w:hAnsi="Arial" w:cs="Arial"/>
                <w:i/>
                <w:iCs/>
                <w:color w:val="000000" w:themeColor="text1"/>
                <w:lang w:eastAsia="en-GB"/>
              </w:rPr>
              <w:t xml:space="preserve"> shall be reported here</w:t>
            </w:r>
            <w:r w:rsidR="00E477C3" w:rsidRPr="00BB79FA">
              <w:rPr>
                <w:rFonts w:ascii="Arial" w:eastAsia="Times New Roman" w:hAnsi="Arial" w:cs="Arial"/>
                <w:i/>
                <w:iCs/>
                <w:color w:val="000000" w:themeColor="text1"/>
                <w:lang w:eastAsia="en-GB"/>
              </w:rPr>
              <w:t>.</w:t>
            </w:r>
          </w:p>
          <w:p w14:paraId="7592E0A8" w14:textId="4C0D4364" w:rsidR="00E477C3" w:rsidRPr="00BB79FA" w:rsidRDefault="00E477C3" w:rsidP="00E477C3">
            <w:pPr>
              <w:rPr>
                <w:rFonts w:ascii="Arial" w:eastAsia="Times New Roman" w:hAnsi="Arial" w:cs="Arial"/>
                <w:i/>
                <w:color w:val="000000" w:themeColor="text1"/>
                <w:lang w:eastAsia="en-GB"/>
              </w:rPr>
            </w:pPr>
          </w:p>
        </w:tc>
      </w:tr>
      <w:tr w:rsidR="00E477C3" w:rsidRPr="00BB79FA" w14:paraId="5E7EECC8" w14:textId="77777777" w:rsidTr="00E00D98">
        <w:trPr>
          <w:trHeight w:val="276"/>
        </w:trPr>
        <w:tc>
          <w:tcPr>
            <w:tcW w:w="756" w:type="dxa"/>
            <w:noWrap/>
            <w:hideMark/>
          </w:tcPr>
          <w:p w14:paraId="7F65CA5E" w14:textId="2A2862F4" w:rsidR="00E477C3" w:rsidRPr="00BB79FA" w:rsidRDefault="00E477C3" w:rsidP="00E477C3">
            <w:pPr>
              <w:rPr>
                <w:rFonts w:ascii="Arial" w:eastAsia="Times New Roman" w:hAnsi="Arial" w:cs="Arial"/>
                <w:color w:val="000000"/>
                <w:lang w:eastAsia="en-GB"/>
              </w:rPr>
            </w:pPr>
            <w:r w:rsidRPr="00BB79FA">
              <w:rPr>
                <w:rFonts w:ascii="Arial" w:eastAsia="Times New Roman" w:hAnsi="Arial" w:cs="Arial"/>
                <w:color w:val="000000"/>
                <w:lang w:eastAsia="en-GB"/>
              </w:rPr>
              <w:t>242</w:t>
            </w:r>
          </w:p>
        </w:tc>
        <w:tc>
          <w:tcPr>
            <w:tcW w:w="7667" w:type="dxa"/>
            <w:noWrap/>
            <w:hideMark/>
          </w:tcPr>
          <w:p w14:paraId="3496FA06" w14:textId="77777777" w:rsidR="00E477C3" w:rsidRPr="00BB79FA" w:rsidRDefault="00E477C3" w:rsidP="00E477C3">
            <w:pPr>
              <w:rPr>
                <w:rFonts w:ascii="Arial" w:eastAsia="Times New Roman" w:hAnsi="Arial" w:cs="Arial"/>
                <w:i/>
                <w:color w:val="000000" w:themeColor="text1"/>
                <w:u w:val="single"/>
                <w:lang w:eastAsia="en-GB"/>
              </w:rPr>
            </w:pPr>
            <w:r w:rsidRPr="00BB79FA">
              <w:rPr>
                <w:rFonts w:ascii="Arial" w:eastAsia="Times New Roman" w:hAnsi="Arial" w:cs="Arial"/>
                <w:i/>
                <w:color w:val="000000" w:themeColor="text1"/>
                <w:u w:val="single"/>
                <w:lang w:eastAsia="en-GB"/>
              </w:rPr>
              <w:t xml:space="preserve">      of which: assigned a RW of 50% </w:t>
            </w:r>
          </w:p>
          <w:p w14:paraId="3C4A6DCC" w14:textId="77777777" w:rsidR="00E477C3" w:rsidRPr="00BB79FA" w:rsidRDefault="00E477C3" w:rsidP="00E477C3">
            <w:pPr>
              <w:rPr>
                <w:rFonts w:ascii="Arial" w:eastAsia="Times New Roman" w:hAnsi="Arial" w:cs="Arial"/>
                <w:i/>
                <w:color w:val="000000" w:themeColor="text1"/>
                <w:lang w:eastAsia="en-GB"/>
              </w:rPr>
            </w:pPr>
          </w:p>
          <w:p w14:paraId="7370A236" w14:textId="2C043AF8" w:rsidR="00E477C3" w:rsidRPr="00BB79FA" w:rsidRDefault="00B56A40" w:rsidP="00E477C3">
            <w:pPr>
              <w:rPr>
                <w:rFonts w:ascii="Arial" w:eastAsia="Times New Roman" w:hAnsi="Arial" w:cs="Arial"/>
                <w:i/>
                <w:iCs/>
                <w:color w:val="000000" w:themeColor="text1"/>
                <w:lang w:eastAsia="en-GB"/>
              </w:rPr>
            </w:pPr>
            <w:r w:rsidRPr="00BB79FA">
              <w:rPr>
                <w:rFonts w:ascii="Arial" w:eastAsia="Times New Roman" w:hAnsi="Arial" w:cs="Arial"/>
                <w:i/>
                <w:iCs/>
                <w:color w:val="000000" w:themeColor="text1"/>
                <w:lang w:eastAsia="en-GB"/>
              </w:rPr>
              <w:t>Only e</w:t>
            </w:r>
            <w:r w:rsidR="00E477C3" w:rsidRPr="00BB79FA">
              <w:rPr>
                <w:rFonts w:ascii="Arial" w:eastAsia="Times New Roman" w:hAnsi="Arial" w:cs="Arial"/>
                <w:i/>
                <w:iCs/>
                <w:color w:val="000000" w:themeColor="text1"/>
                <w:lang w:eastAsia="en-GB"/>
              </w:rPr>
              <w:t>xposures to non-SME corporate</w:t>
            </w:r>
            <w:r w:rsidRPr="00BB79FA">
              <w:rPr>
                <w:rFonts w:ascii="Arial" w:eastAsia="Times New Roman" w:hAnsi="Arial" w:cs="Arial"/>
                <w:i/>
                <w:iCs/>
                <w:color w:val="000000" w:themeColor="text1"/>
                <w:lang w:eastAsia="en-GB"/>
              </w:rPr>
              <w:t>s</w:t>
            </w:r>
            <w:r w:rsidR="00E477C3" w:rsidRPr="00BB79FA">
              <w:rPr>
                <w:rFonts w:ascii="Arial" w:eastAsia="Times New Roman" w:hAnsi="Arial" w:cs="Arial"/>
                <w:i/>
                <w:iCs/>
                <w:color w:val="000000" w:themeColor="text1"/>
                <w:lang w:eastAsia="en-GB"/>
              </w:rPr>
              <w:t xml:space="preserve"> that are assigned a risk weight of 50% </w:t>
            </w:r>
            <w:r w:rsidR="00E477C3" w:rsidRPr="00BB79FA">
              <w:rPr>
                <w:rFonts w:ascii="Arial" w:eastAsia="Arial" w:hAnsi="Arial" w:cs="Arial"/>
                <w:i/>
                <w:color w:val="000000" w:themeColor="text1"/>
                <w:lang w:eastAsia="en-GB"/>
              </w:rPr>
              <w:t xml:space="preserve">in Table 6 or 6A </w:t>
            </w:r>
            <w:r w:rsidR="00E477C3" w:rsidRPr="00BB79FA">
              <w:rPr>
                <w:rFonts w:ascii="Arial" w:eastAsia="Times New Roman" w:hAnsi="Arial" w:cs="Arial"/>
                <w:i/>
                <w:iCs/>
                <w:color w:val="000000" w:themeColor="text1"/>
                <w:lang w:eastAsia="en-GB"/>
              </w:rPr>
              <w:t>under Article 122 of the Credit Risk: Standardised Approach (CRR) Part</w:t>
            </w:r>
            <w:r w:rsidRPr="00BB79FA">
              <w:rPr>
                <w:rFonts w:ascii="Arial" w:eastAsia="Times New Roman" w:hAnsi="Arial" w:cs="Arial"/>
                <w:i/>
                <w:iCs/>
                <w:color w:val="000000" w:themeColor="text1"/>
                <w:lang w:eastAsia="en-GB"/>
              </w:rPr>
              <w:t xml:space="preserve"> shall be reported here</w:t>
            </w:r>
            <w:r w:rsidR="00E477C3" w:rsidRPr="00BB79FA">
              <w:rPr>
                <w:rFonts w:ascii="Arial" w:eastAsia="Times New Roman" w:hAnsi="Arial" w:cs="Arial"/>
                <w:i/>
                <w:iCs/>
                <w:color w:val="000000" w:themeColor="text1"/>
                <w:lang w:eastAsia="en-GB"/>
              </w:rPr>
              <w:t>.</w:t>
            </w:r>
          </w:p>
          <w:p w14:paraId="7F118742" w14:textId="33DF35C9" w:rsidR="00E477C3" w:rsidRPr="00BB79FA" w:rsidRDefault="00E477C3" w:rsidP="00E477C3">
            <w:pPr>
              <w:rPr>
                <w:rFonts w:ascii="Arial" w:eastAsia="Times New Roman" w:hAnsi="Arial" w:cs="Arial"/>
                <w:i/>
                <w:color w:val="000000" w:themeColor="text1"/>
                <w:lang w:eastAsia="en-GB"/>
              </w:rPr>
            </w:pPr>
          </w:p>
        </w:tc>
      </w:tr>
      <w:tr w:rsidR="00E477C3" w:rsidRPr="00BB79FA" w14:paraId="292A3AE7" w14:textId="77777777" w:rsidTr="00E00D98">
        <w:trPr>
          <w:trHeight w:val="276"/>
        </w:trPr>
        <w:tc>
          <w:tcPr>
            <w:tcW w:w="756" w:type="dxa"/>
            <w:noWrap/>
            <w:hideMark/>
          </w:tcPr>
          <w:p w14:paraId="464E8D99" w14:textId="04B3ACC1" w:rsidR="00E477C3" w:rsidRPr="00BB79FA" w:rsidRDefault="00E477C3" w:rsidP="00E477C3">
            <w:pPr>
              <w:rPr>
                <w:rFonts w:ascii="Arial" w:eastAsia="Times New Roman" w:hAnsi="Arial" w:cs="Arial"/>
                <w:color w:val="000000"/>
                <w:lang w:eastAsia="en-GB"/>
              </w:rPr>
            </w:pPr>
            <w:r w:rsidRPr="00BB79FA">
              <w:rPr>
                <w:rFonts w:ascii="Arial" w:eastAsia="Times New Roman" w:hAnsi="Arial" w:cs="Arial"/>
                <w:color w:val="000000"/>
                <w:lang w:eastAsia="en-GB"/>
              </w:rPr>
              <w:t>243</w:t>
            </w:r>
          </w:p>
        </w:tc>
        <w:tc>
          <w:tcPr>
            <w:tcW w:w="7667" w:type="dxa"/>
            <w:noWrap/>
            <w:hideMark/>
          </w:tcPr>
          <w:p w14:paraId="0BE60F27" w14:textId="77777777" w:rsidR="00E477C3" w:rsidRPr="00BB79FA" w:rsidRDefault="00E477C3" w:rsidP="00E477C3">
            <w:pPr>
              <w:rPr>
                <w:rFonts w:ascii="Arial" w:eastAsia="Times New Roman" w:hAnsi="Arial" w:cs="Arial"/>
                <w:i/>
                <w:color w:val="000000" w:themeColor="text1"/>
                <w:u w:val="single"/>
                <w:lang w:eastAsia="en-GB"/>
              </w:rPr>
            </w:pPr>
            <w:r w:rsidRPr="00BB79FA">
              <w:rPr>
                <w:rFonts w:ascii="Arial" w:eastAsia="Times New Roman" w:hAnsi="Arial" w:cs="Arial"/>
                <w:i/>
                <w:color w:val="000000" w:themeColor="text1"/>
                <w:u w:val="single"/>
                <w:lang w:eastAsia="en-GB"/>
              </w:rPr>
              <w:t xml:space="preserve">      of which: assigned a RW of 75% </w:t>
            </w:r>
          </w:p>
          <w:p w14:paraId="1466A409" w14:textId="77777777" w:rsidR="00E477C3" w:rsidRPr="00BB79FA" w:rsidRDefault="00E477C3" w:rsidP="00E477C3">
            <w:pPr>
              <w:rPr>
                <w:rFonts w:ascii="Arial" w:eastAsia="Times New Roman" w:hAnsi="Arial" w:cs="Arial"/>
                <w:i/>
                <w:color w:val="000000" w:themeColor="text1"/>
                <w:lang w:eastAsia="en-GB"/>
              </w:rPr>
            </w:pPr>
          </w:p>
          <w:p w14:paraId="6D4222B4" w14:textId="12A0ECB6" w:rsidR="00E477C3" w:rsidRPr="00BB79FA" w:rsidRDefault="00B56A40" w:rsidP="00E477C3">
            <w:pPr>
              <w:rPr>
                <w:rFonts w:ascii="Arial" w:eastAsia="Times New Roman" w:hAnsi="Arial" w:cs="Arial"/>
                <w:i/>
                <w:iCs/>
                <w:color w:val="000000" w:themeColor="text1"/>
                <w:lang w:eastAsia="en-GB"/>
              </w:rPr>
            </w:pPr>
            <w:r w:rsidRPr="00BB79FA">
              <w:rPr>
                <w:rFonts w:ascii="Arial" w:eastAsia="Times New Roman" w:hAnsi="Arial" w:cs="Arial"/>
                <w:i/>
                <w:iCs/>
                <w:color w:val="000000" w:themeColor="text1"/>
                <w:lang w:eastAsia="en-GB"/>
              </w:rPr>
              <w:t>Only e</w:t>
            </w:r>
            <w:r w:rsidR="00E477C3" w:rsidRPr="00BB79FA">
              <w:rPr>
                <w:rFonts w:ascii="Arial" w:eastAsia="Times New Roman" w:hAnsi="Arial" w:cs="Arial"/>
                <w:i/>
                <w:iCs/>
                <w:color w:val="000000" w:themeColor="text1"/>
                <w:lang w:eastAsia="en-GB"/>
              </w:rPr>
              <w:t>xposures to non-SME corporate</w:t>
            </w:r>
            <w:r w:rsidRPr="00BB79FA">
              <w:rPr>
                <w:rFonts w:ascii="Arial" w:eastAsia="Times New Roman" w:hAnsi="Arial" w:cs="Arial"/>
                <w:i/>
                <w:iCs/>
                <w:color w:val="000000" w:themeColor="text1"/>
                <w:lang w:eastAsia="en-GB"/>
              </w:rPr>
              <w:t>s</w:t>
            </w:r>
            <w:r w:rsidR="00E477C3" w:rsidRPr="00BB79FA">
              <w:rPr>
                <w:rFonts w:ascii="Arial" w:eastAsia="Times New Roman" w:hAnsi="Arial" w:cs="Arial"/>
                <w:i/>
                <w:iCs/>
                <w:color w:val="000000" w:themeColor="text1"/>
                <w:lang w:eastAsia="en-GB"/>
              </w:rPr>
              <w:t xml:space="preserve"> that are assigned a risk weight of 75% </w:t>
            </w:r>
            <w:r w:rsidR="00E477C3" w:rsidRPr="00BB79FA">
              <w:rPr>
                <w:rFonts w:ascii="Arial" w:eastAsia="Arial" w:hAnsi="Arial" w:cs="Arial"/>
                <w:i/>
                <w:color w:val="000000" w:themeColor="text1"/>
                <w:lang w:eastAsia="en-GB"/>
              </w:rPr>
              <w:t xml:space="preserve">in Table 6 or 6A </w:t>
            </w:r>
            <w:r w:rsidR="00E477C3" w:rsidRPr="00BB79FA">
              <w:rPr>
                <w:rFonts w:ascii="Arial" w:eastAsia="Times New Roman" w:hAnsi="Arial" w:cs="Arial"/>
                <w:i/>
                <w:iCs/>
                <w:color w:val="000000" w:themeColor="text1"/>
                <w:lang w:eastAsia="en-GB"/>
              </w:rPr>
              <w:t>under Article 122 of the Credit Risk: Standardised Approach (CRR) Part shall be reported here.</w:t>
            </w:r>
          </w:p>
          <w:p w14:paraId="4E9AF15C" w14:textId="151F38E3" w:rsidR="00E477C3" w:rsidRPr="00BB79FA" w:rsidRDefault="00E477C3" w:rsidP="00E477C3">
            <w:pPr>
              <w:rPr>
                <w:rFonts w:ascii="Arial" w:eastAsia="Times New Roman" w:hAnsi="Arial" w:cs="Arial"/>
                <w:i/>
                <w:color w:val="000000" w:themeColor="text1"/>
                <w:lang w:eastAsia="en-GB"/>
              </w:rPr>
            </w:pPr>
          </w:p>
        </w:tc>
      </w:tr>
      <w:tr w:rsidR="00E477C3" w:rsidRPr="00BB79FA" w14:paraId="594201B3" w14:textId="77777777" w:rsidTr="00E00D98">
        <w:trPr>
          <w:trHeight w:val="276"/>
        </w:trPr>
        <w:tc>
          <w:tcPr>
            <w:tcW w:w="756" w:type="dxa"/>
            <w:noWrap/>
            <w:hideMark/>
          </w:tcPr>
          <w:p w14:paraId="542279A6" w14:textId="30680484" w:rsidR="00E477C3" w:rsidRPr="00BB79FA" w:rsidRDefault="00E477C3" w:rsidP="00E477C3">
            <w:pPr>
              <w:rPr>
                <w:rFonts w:ascii="Arial" w:eastAsia="Times New Roman" w:hAnsi="Arial" w:cs="Arial"/>
                <w:color w:val="000000"/>
                <w:lang w:eastAsia="en-GB"/>
              </w:rPr>
            </w:pPr>
            <w:r w:rsidRPr="00BB79FA">
              <w:rPr>
                <w:rFonts w:ascii="Arial" w:eastAsia="Times New Roman" w:hAnsi="Arial" w:cs="Arial"/>
                <w:color w:val="000000"/>
                <w:lang w:eastAsia="en-GB"/>
              </w:rPr>
              <w:t>244</w:t>
            </w:r>
          </w:p>
        </w:tc>
        <w:tc>
          <w:tcPr>
            <w:tcW w:w="7667" w:type="dxa"/>
            <w:noWrap/>
            <w:hideMark/>
          </w:tcPr>
          <w:p w14:paraId="10C64F1B" w14:textId="6A5BC29D" w:rsidR="00E477C3" w:rsidRPr="00BB79FA" w:rsidRDefault="00E477C3" w:rsidP="00E477C3">
            <w:pPr>
              <w:tabs>
                <w:tab w:val="left" w:pos="4811"/>
              </w:tabs>
              <w:rPr>
                <w:rFonts w:ascii="Arial" w:eastAsia="Times New Roman" w:hAnsi="Arial" w:cs="Arial"/>
                <w:i/>
                <w:color w:val="000000" w:themeColor="text1"/>
                <w:u w:val="single"/>
                <w:lang w:eastAsia="en-GB"/>
              </w:rPr>
            </w:pPr>
            <w:r w:rsidRPr="00BB79FA">
              <w:rPr>
                <w:rFonts w:ascii="Arial" w:eastAsia="Times New Roman" w:hAnsi="Arial" w:cs="Arial"/>
                <w:i/>
                <w:color w:val="000000" w:themeColor="text1"/>
                <w:u w:val="single"/>
                <w:lang w:eastAsia="en-GB"/>
              </w:rPr>
              <w:t xml:space="preserve">      of which: assigned a RW of 100%</w:t>
            </w:r>
          </w:p>
          <w:p w14:paraId="74F804E0" w14:textId="77777777" w:rsidR="00E477C3" w:rsidRPr="00BB79FA" w:rsidRDefault="00E477C3" w:rsidP="00E477C3">
            <w:pPr>
              <w:tabs>
                <w:tab w:val="left" w:pos="4811"/>
              </w:tabs>
              <w:rPr>
                <w:rFonts w:ascii="Arial" w:eastAsia="Times New Roman" w:hAnsi="Arial" w:cs="Arial"/>
                <w:i/>
                <w:color w:val="000000" w:themeColor="text1"/>
                <w:lang w:eastAsia="en-GB"/>
              </w:rPr>
            </w:pPr>
          </w:p>
          <w:p w14:paraId="37D32186" w14:textId="08B4B292" w:rsidR="00E477C3" w:rsidRPr="00BB79FA" w:rsidRDefault="00B56A40" w:rsidP="00E477C3">
            <w:pPr>
              <w:rPr>
                <w:rFonts w:ascii="Arial" w:eastAsia="Times New Roman" w:hAnsi="Arial" w:cs="Arial"/>
                <w:i/>
                <w:iCs/>
                <w:color w:val="000000" w:themeColor="text1"/>
                <w:lang w:eastAsia="en-GB"/>
              </w:rPr>
            </w:pPr>
            <w:r w:rsidRPr="00BB79FA">
              <w:rPr>
                <w:rFonts w:ascii="Arial" w:eastAsia="Times New Roman" w:hAnsi="Arial" w:cs="Arial"/>
                <w:i/>
                <w:iCs/>
                <w:color w:val="000000" w:themeColor="text1"/>
                <w:lang w:eastAsia="en-GB"/>
              </w:rPr>
              <w:lastRenderedPageBreak/>
              <w:t>Only e</w:t>
            </w:r>
            <w:r w:rsidR="00E477C3" w:rsidRPr="00BB79FA">
              <w:rPr>
                <w:rFonts w:ascii="Arial" w:eastAsia="Times New Roman" w:hAnsi="Arial" w:cs="Arial"/>
                <w:i/>
                <w:iCs/>
                <w:color w:val="000000" w:themeColor="text1"/>
                <w:lang w:eastAsia="en-GB"/>
              </w:rPr>
              <w:t>xposures to non-SME Corporat</w:t>
            </w:r>
            <w:r w:rsidRPr="00BB79FA">
              <w:rPr>
                <w:rFonts w:ascii="Arial" w:eastAsia="Times New Roman" w:hAnsi="Arial" w:cs="Arial"/>
                <w:i/>
                <w:iCs/>
                <w:color w:val="000000" w:themeColor="text1"/>
                <w:lang w:eastAsia="en-GB"/>
              </w:rPr>
              <w:t>e</w:t>
            </w:r>
            <w:r w:rsidR="00E477C3" w:rsidRPr="00BB79FA">
              <w:rPr>
                <w:rFonts w:ascii="Arial" w:eastAsia="Times New Roman" w:hAnsi="Arial" w:cs="Arial"/>
                <w:i/>
                <w:iCs/>
                <w:color w:val="000000" w:themeColor="text1"/>
                <w:lang w:eastAsia="en-GB"/>
              </w:rPr>
              <w:t xml:space="preserve">s that are assigned a risk weight of 100% </w:t>
            </w:r>
            <w:r w:rsidR="00E477C3" w:rsidRPr="00BB79FA">
              <w:rPr>
                <w:rFonts w:ascii="Arial" w:eastAsia="Arial" w:hAnsi="Arial" w:cs="Arial"/>
                <w:i/>
                <w:color w:val="000000" w:themeColor="text1"/>
                <w:lang w:eastAsia="en-GB"/>
              </w:rPr>
              <w:t xml:space="preserve">in Table 6 or 6A </w:t>
            </w:r>
            <w:r w:rsidR="00E477C3" w:rsidRPr="00BB79FA">
              <w:rPr>
                <w:rFonts w:ascii="Arial" w:eastAsia="Times New Roman" w:hAnsi="Arial" w:cs="Arial"/>
                <w:i/>
                <w:iCs/>
                <w:color w:val="000000" w:themeColor="text1"/>
                <w:lang w:eastAsia="en-GB"/>
              </w:rPr>
              <w:t>under Article 122 of the Credit Risk: Standardised Approach (CRR) Part shall be reported here.</w:t>
            </w:r>
          </w:p>
          <w:p w14:paraId="49A1A4F4" w14:textId="016E41D3" w:rsidR="00E477C3" w:rsidRPr="00BB79FA" w:rsidRDefault="00E477C3" w:rsidP="00E477C3">
            <w:pPr>
              <w:tabs>
                <w:tab w:val="left" w:pos="4811"/>
              </w:tabs>
              <w:rPr>
                <w:rFonts w:ascii="Arial" w:eastAsia="Times New Roman" w:hAnsi="Arial" w:cs="Arial"/>
                <w:i/>
                <w:color w:val="000000" w:themeColor="text1"/>
                <w:lang w:eastAsia="en-GB"/>
              </w:rPr>
            </w:pPr>
          </w:p>
        </w:tc>
      </w:tr>
      <w:tr w:rsidR="00E477C3" w:rsidRPr="00BB79FA" w14:paraId="3479C4B9" w14:textId="77777777" w:rsidTr="00E00D98">
        <w:trPr>
          <w:trHeight w:val="276"/>
        </w:trPr>
        <w:tc>
          <w:tcPr>
            <w:tcW w:w="756" w:type="dxa"/>
            <w:noWrap/>
            <w:hideMark/>
          </w:tcPr>
          <w:p w14:paraId="544820CB" w14:textId="0108ADC7" w:rsidR="00E477C3" w:rsidRPr="00BB79FA" w:rsidRDefault="00E477C3" w:rsidP="00E477C3">
            <w:pPr>
              <w:rPr>
                <w:rFonts w:ascii="Arial" w:eastAsia="Times New Roman" w:hAnsi="Arial" w:cs="Arial"/>
                <w:color w:val="000000"/>
                <w:lang w:eastAsia="en-GB"/>
              </w:rPr>
            </w:pPr>
            <w:r w:rsidRPr="00BB79FA">
              <w:rPr>
                <w:rFonts w:ascii="Arial" w:eastAsia="Times New Roman" w:hAnsi="Arial" w:cs="Arial"/>
                <w:color w:val="000000"/>
                <w:lang w:eastAsia="en-GB"/>
              </w:rPr>
              <w:lastRenderedPageBreak/>
              <w:t>245</w:t>
            </w:r>
          </w:p>
        </w:tc>
        <w:tc>
          <w:tcPr>
            <w:tcW w:w="7667" w:type="dxa"/>
            <w:noWrap/>
            <w:hideMark/>
          </w:tcPr>
          <w:p w14:paraId="389DEB74" w14:textId="77777777" w:rsidR="00E477C3" w:rsidRPr="00BB79FA" w:rsidRDefault="00E477C3" w:rsidP="00E477C3">
            <w:pPr>
              <w:rPr>
                <w:rFonts w:ascii="Arial" w:eastAsia="Times New Roman" w:hAnsi="Arial" w:cs="Arial"/>
                <w:i/>
                <w:color w:val="000000" w:themeColor="text1"/>
                <w:u w:val="single"/>
                <w:lang w:eastAsia="en-GB"/>
              </w:rPr>
            </w:pPr>
            <w:r w:rsidRPr="00BB79FA">
              <w:rPr>
                <w:rFonts w:ascii="Arial" w:eastAsia="Times New Roman" w:hAnsi="Arial" w:cs="Arial"/>
                <w:i/>
                <w:color w:val="000000" w:themeColor="text1"/>
                <w:u w:val="single"/>
                <w:lang w:eastAsia="en-GB"/>
              </w:rPr>
              <w:t xml:space="preserve">      of which: assigned a RW of 150% </w:t>
            </w:r>
          </w:p>
          <w:p w14:paraId="52C27177" w14:textId="77777777" w:rsidR="00E477C3" w:rsidRPr="00BB79FA" w:rsidRDefault="00E477C3" w:rsidP="00E477C3">
            <w:pPr>
              <w:rPr>
                <w:rFonts w:ascii="Arial" w:eastAsia="Times New Roman" w:hAnsi="Arial" w:cs="Arial"/>
                <w:i/>
                <w:color w:val="000000" w:themeColor="text1"/>
                <w:lang w:eastAsia="en-GB"/>
              </w:rPr>
            </w:pPr>
          </w:p>
          <w:p w14:paraId="52BFD638" w14:textId="1F41D400" w:rsidR="00E477C3" w:rsidRPr="00BB79FA" w:rsidRDefault="00B56A40" w:rsidP="00E477C3">
            <w:pPr>
              <w:rPr>
                <w:rFonts w:ascii="Arial" w:eastAsia="Times New Roman" w:hAnsi="Arial" w:cs="Arial"/>
                <w:i/>
                <w:iCs/>
                <w:color w:val="000000" w:themeColor="text1"/>
                <w:lang w:eastAsia="en-GB"/>
              </w:rPr>
            </w:pPr>
            <w:r w:rsidRPr="00BB79FA">
              <w:rPr>
                <w:rFonts w:ascii="Arial" w:eastAsia="Times New Roman" w:hAnsi="Arial" w:cs="Arial"/>
                <w:i/>
                <w:iCs/>
                <w:color w:val="000000" w:themeColor="text1"/>
                <w:lang w:eastAsia="en-GB"/>
              </w:rPr>
              <w:t>Only e</w:t>
            </w:r>
            <w:r w:rsidR="00E477C3" w:rsidRPr="00BB79FA">
              <w:rPr>
                <w:rFonts w:ascii="Arial" w:eastAsia="Times New Roman" w:hAnsi="Arial" w:cs="Arial"/>
                <w:i/>
                <w:iCs/>
                <w:color w:val="000000" w:themeColor="text1"/>
                <w:lang w:eastAsia="en-GB"/>
              </w:rPr>
              <w:t>xposures to non-SME Corporates that are assigned a risk weight of 150%</w:t>
            </w:r>
            <w:r w:rsidR="00E477C3" w:rsidRPr="00BB79FA">
              <w:rPr>
                <w:rFonts w:ascii="Arial" w:eastAsia="Arial" w:hAnsi="Arial" w:cs="Arial"/>
                <w:i/>
                <w:color w:val="000000" w:themeColor="text1"/>
                <w:lang w:eastAsia="en-GB"/>
              </w:rPr>
              <w:t xml:space="preserve"> in Table 6 or 6A</w:t>
            </w:r>
            <w:r w:rsidR="00E477C3" w:rsidRPr="00BB79FA">
              <w:rPr>
                <w:rFonts w:ascii="Arial" w:eastAsia="Times New Roman" w:hAnsi="Arial" w:cs="Arial"/>
                <w:i/>
                <w:iCs/>
                <w:color w:val="000000" w:themeColor="text1"/>
                <w:lang w:eastAsia="en-GB"/>
              </w:rPr>
              <w:t xml:space="preserve"> under Article 122 of the Credit Risk: Standardised Approach (CRR) Part shall be reported here.</w:t>
            </w:r>
          </w:p>
          <w:p w14:paraId="6E1EF3BE" w14:textId="69D62046" w:rsidR="00E477C3" w:rsidRPr="00BB79FA" w:rsidRDefault="00E477C3" w:rsidP="00E477C3">
            <w:pPr>
              <w:rPr>
                <w:rFonts w:ascii="Arial" w:eastAsia="Times New Roman" w:hAnsi="Arial" w:cs="Arial"/>
                <w:i/>
                <w:color w:val="000000" w:themeColor="text1"/>
                <w:lang w:eastAsia="en-GB"/>
              </w:rPr>
            </w:pPr>
          </w:p>
        </w:tc>
      </w:tr>
      <w:tr w:rsidR="00E477C3" w:rsidRPr="00BB79FA" w14:paraId="08C26D2F" w14:textId="77777777" w:rsidTr="00E00D98">
        <w:trPr>
          <w:trHeight w:val="276"/>
        </w:trPr>
        <w:tc>
          <w:tcPr>
            <w:tcW w:w="756" w:type="dxa"/>
            <w:noWrap/>
            <w:hideMark/>
          </w:tcPr>
          <w:p w14:paraId="4468C628" w14:textId="49FE982C" w:rsidR="00E477C3" w:rsidRPr="00BB79FA" w:rsidRDefault="00E477C3" w:rsidP="00E477C3">
            <w:pPr>
              <w:rPr>
                <w:rFonts w:ascii="Arial" w:eastAsia="Times New Roman" w:hAnsi="Arial" w:cs="Arial"/>
                <w:color w:val="000000"/>
                <w:lang w:eastAsia="en-GB"/>
              </w:rPr>
            </w:pPr>
            <w:r w:rsidRPr="00BB79FA">
              <w:rPr>
                <w:rFonts w:ascii="Arial" w:eastAsia="Arial" w:hAnsi="Arial" w:cs="Arial"/>
                <w:color w:val="000000"/>
                <w:lang w:eastAsia="en-GB"/>
              </w:rPr>
              <w:t>250</w:t>
            </w:r>
          </w:p>
        </w:tc>
        <w:tc>
          <w:tcPr>
            <w:tcW w:w="7667" w:type="dxa"/>
            <w:noWrap/>
            <w:hideMark/>
          </w:tcPr>
          <w:p w14:paraId="3E4D7237" w14:textId="77777777" w:rsidR="00E477C3" w:rsidRPr="00BB79FA" w:rsidRDefault="00E477C3" w:rsidP="00E477C3">
            <w:pPr>
              <w:rPr>
                <w:rFonts w:ascii="Arial" w:eastAsia="Arial" w:hAnsi="Arial" w:cs="Arial"/>
                <w:b/>
                <w:i/>
                <w:color w:val="000000" w:themeColor="text1"/>
                <w:u w:val="single"/>
                <w:lang w:eastAsia="en-GB"/>
              </w:rPr>
            </w:pPr>
            <w:r w:rsidRPr="00BB79FA">
              <w:rPr>
                <w:rFonts w:ascii="Arial" w:eastAsia="Arial" w:hAnsi="Arial" w:cs="Arial"/>
                <w:b/>
                <w:i/>
                <w:color w:val="000000"/>
                <w:u w:val="single"/>
                <w:lang w:eastAsia="en-GB"/>
              </w:rPr>
              <w:t xml:space="preserve">   of which: project finance exposures (unrated)</w:t>
            </w:r>
          </w:p>
          <w:p w14:paraId="3C237BAD" w14:textId="77777777" w:rsidR="00E477C3" w:rsidRPr="00BB79FA" w:rsidRDefault="00E477C3" w:rsidP="00E477C3">
            <w:pPr>
              <w:rPr>
                <w:rFonts w:ascii="Arial" w:eastAsia="Arial" w:hAnsi="Arial" w:cs="Arial"/>
                <w:b/>
                <w:i/>
                <w:color w:val="000000" w:themeColor="text1"/>
                <w:lang w:eastAsia="en-GB"/>
              </w:rPr>
            </w:pPr>
          </w:p>
          <w:p w14:paraId="384C7191" w14:textId="14750EA5" w:rsidR="00E477C3" w:rsidRPr="00BB79FA" w:rsidRDefault="00E477C3" w:rsidP="00E477C3">
            <w:pPr>
              <w:rPr>
                <w:rFonts w:ascii="Arial" w:eastAsia="Arial" w:hAnsi="Arial" w:cs="Arial"/>
                <w:i/>
                <w:color w:val="000000" w:themeColor="text1"/>
                <w:lang w:eastAsia="en-GB"/>
              </w:rPr>
            </w:pPr>
            <w:r w:rsidRPr="00BB79FA">
              <w:rPr>
                <w:rFonts w:ascii="Arial" w:eastAsia="Arial" w:hAnsi="Arial" w:cs="Arial"/>
                <w:i/>
                <w:color w:val="000000" w:themeColor="text1"/>
                <w:lang w:eastAsia="en-GB"/>
              </w:rPr>
              <w:t>Sub-total row of rows 251, 252 and 253.</w:t>
            </w:r>
          </w:p>
          <w:p w14:paraId="67AD99B8" w14:textId="411123D8" w:rsidR="00E477C3" w:rsidRPr="00BB79FA" w:rsidRDefault="00E477C3" w:rsidP="00E477C3">
            <w:pPr>
              <w:rPr>
                <w:rFonts w:ascii="Arial" w:eastAsia="Arial" w:hAnsi="Arial" w:cs="Arial"/>
                <w:b/>
                <w:i/>
                <w:color w:val="000000" w:themeColor="text1"/>
                <w:lang w:eastAsia="en-GB"/>
              </w:rPr>
            </w:pPr>
          </w:p>
          <w:p w14:paraId="3E77D97E" w14:textId="25CA249E" w:rsidR="00E477C3" w:rsidRPr="00BB79FA" w:rsidRDefault="00E477C3" w:rsidP="00E477C3">
            <w:pPr>
              <w:rPr>
                <w:rFonts w:ascii="Arial" w:eastAsia="Arial" w:hAnsi="Arial" w:cs="Arial"/>
                <w:i/>
                <w:color w:val="000000" w:themeColor="text1"/>
                <w:lang w:eastAsia="en-GB"/>
              </w:rPr>
            </w:pPr>
            <w:r w:rsidRPr="00BB79FA">
              <w:rPr>
                <w:rFonts w:ascii="Arial" w:eastAsia="Arial" w:hAnsi="Arial" w:cs="Arial"/>
                <w:i/>
                <w:color w:val="000000" w:themeColor="text1"/>
                <w:lang w:eastAsia="en-GB"/>
              </w:rPr>
              <w:t>This row will be calculated by a formula, firms do not need to report here.</w:t>
            </w:r>
          </w:p>
          <w:p w14:paraId="0286CF11" w14:textId="51473012" w:rsidR="00E477C3" w:rsidRPr="00BB79FA" w:rsidRDefault="00E477C3" w:rsidP="00E477C3">
            <w:pPr>
              <w:rPr>
                <w:rFonts w:ascii="Arial" w:eastAsia="Times New Roman" w:hAnsi="Arial" w:cs="Arial"/>
                <w:b/>
                <w:i/>
                <w:color w:val="000000"/>
                <w:lang w:eastAsia="en-GB"/>
              </w:rPr>
            </w:pPr>
          </w:p>
        </w:tc>
      </w:tr>
      <w:tr w:rsidR="00E477C3" w:rsidRPr="00BB79FA" w14:paraId="51E02E62" w14:textId="77777777" w:rsidTr="00E00D98">
        <w:trPr>
          <w:trHeight w:val="276"/>
        </w:trPr>
        <w:tc>
          <w:tcPr>
            <w:tcW w:w="756" w:type="dxa"/>
            <w:noWrap/>
            <w:hideMark/>
          </w:tcPr>
          <w:p w14:paraId="25E36BC9" w14:textId="4F048555" w:rsidR="00E477C3" w:rsidRPr="00BB79FA" w:rsidRDefault="00E477C3" w:rsidP="00E477C3">
            <w:pPr>
              <w:rPr>
                <w:rFonts w:ascii="Arial" w:eastAsia="Times New Roman" w:hAnsi="Arial" w:cs="Arial"/>
                <w:color w:val="000000"/>
                <w:lang w:eastAsia="en-GB"/>
              </w:rPr>
            </w:pPr>
            <w:r w:rsidRPr="00BB79FA">
              <w:rPr>
                <w:rFonts w:ascii="Arial" w:eastAsia="Arial" w:hAnsi="Arial" w:cs="Arial"/>
                <w:color w:val="000000"/>
                <w:lang w:eastAsia="en-GB"/>
              </w:rPr>
              <w:t>251</w:t>
            </w:r>
          </w:p>
        </w:tc>
        <w:tc>
          <w:tcPr>
            <w:tcW w:w="7667" w:type="dxa"/>
            <w:noWrap/>
            <w:hideMark/>
          </w:tcPr>
          <w:p w14:paraId="3F5B5A23" w14:textId="77777777" w:rsidR="00E477C3" w:rsidRPr="00BB79FA" w:rsidRDefault="00E477C3" w:rsidP="00E477C3">
            <w:pPr>
              <w:rPr>
                <w:rFonts w:ascii="Arial" w:eastAsia="Arial" w:hAnsi="Arial" w:cs="Arial"/>
                <w:i/>
                <w:color w:val="000000" w:themeColor="text1"/>
                <w:u w:val="single"/>
                <w:lang w:eastAsia="en-GB"/>
              </w:rPr>
            </w:pPr>
            <w:r w:rsidRPr="00BB79FA">
              <w:rPr>
                <w:rFonts w:ascii="Arial" w:eastAsia="Arial" w:hAnsi="Arial" w:cs="Arial"/>
                <w:i/>
                <w:color w:val="000000"/>
                <w:lang w:eastAsia="en-GB"/>
              </w:rPr>
              <w:t xml:space="preserve"> </w:t>
            </w:r>
            <w:r w:rsidRPr="00BB79FA">
              <w:rPr>
                <w:rFonts w:ascii="Arial" w:eastAsia="Arial" w:hAnsi="Arial" w:cs="Arial"/>
                <w:i/>
                <w:color w:val="000000"/>
                <w:u w:val="single"/>
                <w:lang w:eastAsia="en-GB"/>
              </w:rPr>
              <w:t xml:space="preserve">     of which: assigned a RW of 80% </w:t>
            </w:r>
          </w:p>
          <w:p w14:paraId="2E9DBECB" w14:textId="3D474CAA" w:rsidR="00E477C3" w:rsidRPr="00BB79FA" w:rsidRDefault="00E477C3" w:rsidP="00E477C3">
            <w:pPr>
              <w:rPr>
                <w:rFonts w:ascii="Arial" w:eastAsia="Arial" w:hAnsi="Arial" w:cs="Arial"/>
                <w:i/>
                <w:iCs/>
                <w:color w:val="000000" w:themeColor="text1"/>
                <w:lang w:eastAsia="en-GB"/>
              </w:rPr>
            </w:pPr>
          </w:p>
          <w:p w14:paraId="737D7A29" w14:textId="4BFC1510" w:rsidR="00E477C3" w:rsidRPr="00BB79FA" w:rsidRDefault="00E477C3" w:rsidP="00E477C3">
            <w:pPr>
              <w:rPr>
                <w:rFonts w:ascii="Arial" w:eastAsia="Arial" w:hAnsi="Arial" w:cs="Arial"/>
                <w:i/>
                <w:iCs/>
                <w:color w:val="000000" w:themeColor="text1"/>
                <w:lang w:eastAsia="en-GB"/>
              </w:rPr>
            </w:pPr>
            <w:r w:rsidRPr="00BB79FA">
              <w:rPr>
                <w:rFonts w:ascii="Arial" w:eastAsia="Arial" w:hAnsi="Arial" w:cs="Arial"/>
                <w:i/>
                <w:iCs/>
                <w:color w:val="000000" w:themeColor="text1"/>
                <w:lang w:eastAsia="en-GB"/>
              </w:rPr>
              <w:t xml:space="preserve">Only project finance exposures that are </w:t>
            </w:r>
            <w:r w:rsidRPr="00BB79FA">
              <w:rPr>
                <w:rFonts w:ascii="Arial" w:eastAsia="Arial" w:hAnsi="Arial" w:cs="Arial"/>
                <w:i/>
                <w:iCs/>
              </w:rPr>
              <w:t xml:space="preserve">assigned a risk weight of 80% under Article 122B(4) of the Credit Risk: Standardised Approach (CRR) Part </w:t>
            </w:r>
            <w:r w:rsidRPr="00BB79FA">
              <w:rPr>
                <w:rFonts w:ascii="Arial" w:eastAsia="Arial" w:hAnsi="Arial" w:cs="Arial"/>
                <w:i/>
                <w:iCs/>
                <w:color w:val="000000" w:themeColor="text1"/>
                <w:lang w:eastAsia="en-GB"/>
              </w:rPr>
              <w:t xml:space="preserve">shall be reported here. </w:t>
            </w:r>
          </w:p>
          <w:p w14:paraId="20AAC1F9" w14:textId="0AEC89D6" w:rsidR="00E477C3" w:rsidRPr="00BB79FA" w:rsidRDefault="00E477C3" w:rsidP="00E477C3">
            <w:pPr>
              <w:rPr>
                <w:rFonts w:ascii="Arial" w:eastAsia="Times New Roman" w:hAnsi="Arial" w:cs="Arial"/>
                <w:i/>
                <w:color w:val="000000"/>
                <w:lang w:eastAsia="en-GB"/>
              </w:rPr>
            </w:pPr>
          </w:p>
        </w:tc>
      </w:tr>
      <w:tr w:rsidR="00E477C3" w:rsidRPr="00BB79FA" w14:paraId="724664BA" w14:textId="77777777" w:rsidTr="00E00D98">
        <w:trPr>
          <w:trHeight w:val="276"/>
        </w:trPr>
        <w:tc>
          <w:tcPr>
            <w:tcW w:w="756" w:type="dxa"/>
            <w:noWrap/>
            <w:hideMark/>
          </w:tcPr>
          <w:p w14:paraId="20603B49" w14:textId="4C3BE9FE" w:rsidR="00E477C3" w:rsidRPr="00BB79FA" w:rsidRDefault="00E477C3" w:rsidP="00E477C3">
            <w:pPr>
              <w:rPr>
                <w:rFonts w:ascii="Arial" w:eastAsia="Times New Roman" w:hAnsi="Arial" w:cs="Arial"/>
                <w:color w:val="000000"/>
                <w:lang w:eastAsia="en-GB"/>
              </w:rPr>
            </w:pPr>
            <w:r w:rsidRPr="00BB79FA">
              <w:rPr>
                <w:rFonts w:ascii="Arial" w:eastAsia="Arial" w:hAnsi="Arial" w:cs="Arial"/>
                <w:color w:val="000000"/>
                <w:lang w:eastAsia="en-GB"/>
              </w:rPr>
              <w:t>252</w:t>
            </w:r>
          </w:p>
        </w:tc>
        <w:tc>
          <w:tcPr>
            <w:tcW w:w="7667" w:type="dxa"/>
            <w:noWrap/>
            <w:hideMark/>
          </w:tcPr>
          <w:p w14:paraId="0B033573" w14:textId="77777777" w:rsidR="00E477C3" w:rsidRPr="00BB79FA" w:rsidRDefault="00E477C3" w:rsidP="00E477C3">
            <w:pPr>
              <w:rPr>
                <w:rFonts w:ascii="Arial" w:eastAsia="Arial" w:hAnsi="Arial" w:cs="Arial"/>
                <w:i/>
                <w:iCs/>
                <w:color w:val="000000" w:themeColor="text1"/>
                <w:u w:val="single"/>
                <w:lang w:eastAsia="en-GB"/>
              </w:rPr>
            </w:pPr>
            <w:r w:rsidRPr="00BB79FA">
              <w:rPr>
                <w:rFonts w:ascii="Arial" w:eastAsia="Arial" w:hAnsi="Arial" w:cs="Arial"/>
                <w:i/>
                <w:color w:val="000000"/>
                <w:u w:val="single"/>
                <w:lang w:eastAsia="en-GB"/>
              </w:rPr>
              <w:t xml:space="preserve">      of which: assigned a RW of 100% </w:t>
            </w:r>
          </w:p>
          <w:p w14:paraId="15264011" w14:textId="079F925E" w:rsidR="00E477C3" w:rsidRPr="00BB79FA" w:rsidRDefault="00E477C3" w:rsidP="00E477C3">
            <w:pPr>
              <w:rPr>
                <w:rFonts w:ascii="Arial" w:eastAsia="Arial" w:hAnsi="Arial" w:cs="Arial"/>
                <w:i/>
                <w:iCs/>
                <w:color w:val="000000" w:themeColor="text1"/>
                <w:lang w:eastAsia="en-GB"/>
              </w:rPr>
            </w:pPr>
          </w:p>
          <w:p w14:paraId="34487FB2" w14:textId="2F18F9CC" w:rsidR="00E477C3" w:rsidRPr="00BB79FA" w:rsidRDefault="00E477C3" w:rsidP="00E477C3">
            <w:pPr>
              <w:rPr>
                <w:rFonts w:ascii="Arial" w:eastAsia="Arial" w:hAnsi="Arial" w:cs="Arial"/>
                <w:i/>
                <w:iCs/>
                <w:color w:val="000000" w:themeColor="text1"/>
                <w:lang w:eastAsia="en-GB"/>
              </w:rPr>
            </w:pPr>
            <w:r w:rsidRPr="00BB79FA">
              <w:rPr>
                <w:rFonts w:ascii="Arial" w:eastAsia="Arial" w:hAnsi="Arial" w:cs="Arial"/>
                <w:i/>
                <w:iCs/>
                <w:color w:val="000000" w:themeColor="text1"/>
                <w:lang w:eastAsia="en-GB"/>
              </w:rPr>
              <w:t xml:space="preserve">Only project finance exposures that are </w:t>
            </w:r>
            <w:r w:rsidRPr="00BB79FA">
              <w:rPr>
                <w:rFonts w:ascii="Arial" w:eastAsia="Arial" w:hAnsi="Arial" w:cs="Arial"/>
                <w:i/>
                <w:iCs/>
              </w:rPr>
              <w:t xml:space="preserve">assigned a risk weight of 100% under Article 122B(2)(c) of the Credit Risk: Standardised Approach (CRR) Part </w:t>
            </w:r>
            <w:r w:rsidRPr="00BB79FA">
              <w:rPr>
                <w:rFonts w:ascii="Arial" w:eastAsia="Arial" w:hAnsi="Arial" w:cs="Arial"/>
                <w:i/>
                <w:iCs/>
                <w:color w:val="000000" w:themeColor="text1"/>
                <w:lang w:eastAsia="en-GB"/>
              </w:rPr>
              <w:t>shall be reported here.</w:t>
            </w:r>
          </w:p>
          <w:p w14:paraId="26CF1ADD" w14:textId="444CE8C5" w:rsidR="00E477C3" w:rsidRPr="00BB79FA" w:rsidRDefault="00E477C3" w:rsidP="00E477C3">
            <w:pPr>
              <w:rPr>
                <w:rFonts w:ascii="Arial" w:eastAsia="Times New Roman" w:hAnsi="Arial" w:cs="Arial"/>
                <w:i/>
                <w:color w:val="000000"/>
                <w:lang w:eastAsia="en-GB"/>
              </w:rPr>
            </w:pPr>
          </w:p>
        </w:tc>
      </w:tr>
      <w:tr w:rsidR="00E477C3" w:rsidRPr="00BB79FA" w14:paraId="1F657F5F" w14:textId="77777777" w:rsidTr="00E00D98">
        <w:trPr>
          <w:trHeight w:val="276"/>
        </w:trPr>
        <w:tc>
          <w:tcPr>
            <w:tcW w:w="756" w:type="dxa"/>
            <w:noWrap/>
            <w:hideMark/>
          </w:tcPr>
          <w:p w14:paraId="1193289D" w14:textId="2896B364" w:rsidR="00E477C3" w:rsidRPr="00BB79FA" w:rsidRDefault="00E477C3" w:rsidP="00E477C3">
            <w:pPr>
              <w:rPr>
                <w:rFonts w:ascii="Arial" w:eastAsia="Times New Roman" w:hAnsi="Arial" w:cs="Arial"/>
                <w:color w:val="000000"/>
                <w:lang w:eastAsia="en-GB"/>
              </w:rPr>
            </w:pPr>
            <w:r w:rsidRPr="00BB79FA">
              <w:rPr>
                <w:rFonts w:ascii="Arial" w:eastAsia="Arial" w:hAnsi="Arial" w:cs="Arial"/>
                <w:color w:val="000000"/>
                <w:lang w:eastAsia="en-GB"/>
              </w:rPr>
              <w:t>253</w:t>
            </w:r>
          </w:p>
        </w:tc>
        <w:tc>
          <w:tcPr>
            <w:tcW w:w="7667" w:type="dxa"/>
            <w:noWrap/>
            <w:hideMark/>
          </w:tcPr>
          <w:p w14:paraId="3A9C2AF3" w14:textId="77777777" w:rsidR="00E477C3" w:rsidRPr="00BB79FA" w:rsidRDefault="00E477C3" w:rsidP="00E477C3">
            <w:pPr>
              <w:rPr>
                <w:rFonts w:ascii="Arial" w:eastAsia="Arial" w:hAnsi="Arial" w:cs="Arial"/>
                <w:i/>
                <w:iCs/>
                <w:color w:val="000000" w:themeColor="text1"/>
                <w:u w:val="single"/>
                <w:lang w:eastAsia="en-GB"/>
              </w:rPr>
            </w:pPr>
            <w:r w:rsidRPr="00BB79FA">
              <w:rPr>
                <w:rFonts w:ascii="Arial" w:eastAsia="Arial" w:hAnsi="Arial" w:cs="Arial"/>
                <w:i/>
                <w:color w:val="000000"/>
                <w:u w:val="single"/>
                <w:lang w:eastAsia="en-GB"/>
              </w:rPr>
              <w:t xml:space="preserve">      of which: assigned a RW of 130% </w:t>
            </w:r>
          </w:p>
          <w:p w14:paraId="14288C6A" w14:textId="1A758D96" w:rsidR="00E477C3" w:rsidRPr="00BB79FA" w:rsidRDefault="00E477C3" w:rsidP="00E477C3">
            <w:pPr>
              <w:rPr>
                <w:rFonts w:ascii="Arial" w:eastAsia="Arial" w:hAnsi="Arial" w:cs="Arial"/>
                <w:i/>
                <w:iCs/>
                <w:color w:val="000000" w:themeColor="text1"/>
                <w:lang w:eastAsia="en-GB"/>
              </w:rPr>
            </w:pPr>
          </w:p>
          <w:p w14:paraId="23C37FD6" w14:textId="5C383EEE" w:rsidR="00E477C3" w:rsidRPr="00BB79FA" w:rsidRDefault="00E477C3" w:rsidP="00E477C3">
            <w:pPr>
              <w:rPr>
                <w:rFonts w:ascii="Arial" w:eastAsia="Arial" w:hAnsi="Arial" w:cs="Arial"/>
                <w:i/>
                <w:iCs/>
              </w:rPr>
            </w:pPr>
            <w:r w:rsidRPr="00BB79FA">
              <w:rPr>
                <w:rFonts w:ascii="Arial" w:eastAsia="Arial" w:hAnsi="Arial" w:cs="Arial"/>
                <w:i/>
                <w:iCs/>
                <w:color w:val="000000" w:themeColor="text1"/>
                <w:lang w:eastAsia="en-GB"/>
              </w:rPr>
              <w:t xml:space="preserve">Only project finance exposures that are </w:t>
            </w:r>
            <w:r w:rsidRPr="00BB79FA">
              <w:rPr>
                <w:rFonts w:ascii="Arial" w:eastAsia="Arial" w:hAnsi="Arial" w:cs="Arial"/>
                <w:i/>
                <w:iCs/>
              </w:rPr>
              <w:t xml:space="preserve">assigned a risk weight of 130% under Article 122B(2)(c) of the Credit Risk: Standardised Approach (CRR) Part </w:t>
            </w:r>
            <w:r w:rsidRPr="00BB79FA">
              <w:rPr>
                <w:rFonts w:ascii="Arial" w:eastAsia="Arial" w:hAnsi="Arial" w:cs="Arial"/>
                <w:i/>
                <w:iCs/>
                <w:color w:val="000000" w:themeColor="text1"/>
                <w:lang w:eastAsia="en-GB"/>
              </w:rPr>
              <w:t>shall be reported here.</w:t>
            </w:r>
          </w:p>
          <w:p w14:paraId="5589B805" w14:textId="2C378EA7" w:rsidR="00E477C3" w:rsidRPr="00BB79FA" w:rsidRDefault="00E477C3" w:rsidP="00E477C3">
            <w:pPr>
              <w:rPr>
                <w:rFonts w:ascii="Arial" w:eastAsia="Times New Roman" w:hAnsi="Arial" w:cs="Arial"/>
                <w:i/>
                <w:color w:val="000000"/>
                <w:lang w:eastAsia="en-GB"/>
              </w:rPr>
            </w:pPr>
          </w:p>
        </w:tc>
      </w:tr>
      <w:tr w:rsidR="00E477C3" w:rsidRPr="00BB79FA" w14:paraId="1CF908FD" w14:textId="77777777" w:rsidTr="00E00D98">
        <w:trPr>
          <w:trHeight w:val="276"/>
        </w:trPr>
        <w:tc>
          <w:tcPr>
            <w:tcW w:w="756" w:type="dxa"/>
            <w:noWrap/>
            <w:hideMark/>
          </w:tcPr>
          <w:p w14:paraId="13D4140A" w14:textId="076DF650" w:rsidR="00E477C3" w:rsidRPr="00BB79FA" w:rsidRDefault="00E477C3" w:rsidP="00E477C3">
            <w:pPr>
              <w:rPr>
                <w:rFonts w:ascii="Arial" w:eastAsia="Times New Roman" w:hAnsi="Arial" w:cs="Arial"/>
                <w:color w:val="000000"/>
                <w:lang w:eastAsia="en-GB"/>
              </w:rPr>
            </w:pPr>
            <w:r w:rsidRPr="00BB79FA">
              <w:rPr>
                <w:rFonts w:ascii="Arial" w:eastAsia="Arial" w:hAnsi="Arial" w:cs="Arial"/>
                <w:color w:val="000000"/>
                <w:lang w:eastAsia="en-GB"/>
              </w:rPr>
              <w:t>260</w:t>
            </w:r>
          </w:p>
        </w:tc>
        <w:tc>
          <w:tcPr>
            <w:tcW w:w="7667" w:type="dxa"/>
            <w:noWrap/>
            <w:hideMark/>
          </w:tcPr>
          <w:p w14:paraId="13D81B8C" w14:textId="77777777" w:rsidR="00E477C3" w:rsidRPr="00BB79FA" w:rsidRDefault="00E477C3" w:rsidP="00E477C3">
            <w:pPr>
              <w:rPr>
                <w:rFonts w:ascii="Arial" w:eastAsia="Arial" w:hAnsi="Arial" w:cs="Arial"/>
                <w:b/>
                <w:bCs/>
                <w:i/>
                <w:iCs/>
                <w:color w:val="000000" w:themeColor="text1"/>
                <w:lang w:eastAsia="en-GB"/>
              </w:rPr>
            </w:pPr>
            <w:r w:rsidRPr="00BB79FA">
              <w:rPr>
                <w:rFonts w:ascii="Arial" w:eastAsia="Arial" w:hAnsi="Arial" w:cs="Arial"/>
                <w:b/>
                <w:i/>
                <w:color w:val="000000"/>
                <w:u w:val="single"/>
                <w:lang w:eastAsia="en-GB"/>
              </w:rPr>
              <w:t xml:space="preserve">   of which: project finance exposures (rated)</w:t>
            </w:r>
          </w:p>
          <w:p w14:paraId="64A5929D" w14:textId="77777777" w:rsidR="00E477C3" w:rsidRPr="00BB79FA" w:rsidRDefault="00E477C3" w:rsidP="00E477C3">
            <w:pPr>
              <w:rPr>
                <w:rFonts w:ascii="Arial" w:eastAsia="Arial" w:hAnsi="Arial" w:cs="Arial"/>
                <w:b/>
                <w:bCs/>
                <w:i/>
                <w:iCs/>
                <w:color w:val="000000" w:themeColor="text1"/>
                <w:u w:val="single"/>
                <w:lang w:eastAsia="en-GB"/>
              </w:rPr>
            </w:pPr>
          </w:p>
          <w:p w14:paraId="3EF67930" w14:textId="0B596BAF" w:rsidR="00E477C3" w:rsidRPr="00BB79FA" w:rsidRDefault="00E477C3" w:rsidP="00E477C3">
            <w:pPr>
              <w:rPr>
                <w:rFonts w:ascii="Arial" w:eastAsia="Arial" w:hAnsi="Arial" w:cs="Arial"/>
                <w:i/>
                <w:iCs/>
                <w:color w:val="000000" w:themeColor="text1"/>
                <w:lang w:eastAsia="en-GB"/>
              </w:rPr>
            </w:pPr>
            <w:r w:rsidRPr="00BB79FA">
              <w:rPr>
                <w:rFonts w:ascii="Arial" w:eastAsia="Arial" w:hAnsi="Arial" w:cs="Arial"/>
                <w:i/>
                <w:iCs/>
                <w:color w:val="000000" w:themeColor="text1"/>
                <w:lang w:eastAsia="en-GB"/>
              </w:rPr>
              <w:t>Sub-total row of following rows: 2</w:t>
            </w:r>
            <w:r w:rsidR="00C818FA" w:rsidRPr="00BB79FA">
              <w:rPr>
                <w:rFonts w:ascii="Arial" w:eastAsia="Arial" w:hAnsi="Arial" w:cs="Arial"/>
                <w:i/>
                <w:iCs/>
                <w:color w:val="000000" w:themeColor="text1"/>
                <w:lang w:eastAsia="en-GB"/>
              </w:rPr>
              <w:t>6</w:t>
            </w:r>
            <w:r w:rsidRPr="00BB79FA">
              <w:rPr>
                <w:rFonts w:ascii="Arial" w:eastAsia="Arial" w:hAnsi="Arial" w:cs="Arial"/>
                <w:i/>
                <w:iCs/>
                <w:color w:val="000000" w:themeColor="text1"/>
                <w:lang w:eastAsia="en-GB"/>
              </w:rPr>
              <w:t>1, 2</w:t>
            </w:r>
            <w:r w:rsidR="00C818FA" w:rsidRPr="00BB79FA">
              <w:rPr>
                <w:rFonts w:ascii="Arial" w:eastAsia="Arial" w:hAnsi="Arial" w:cs="Arial"/>
                <w:i/>
                <w:iCs/>
                <w:color w:val="000000" w:themeColor="text1"/>
                <w:lang w:eastAsia="en-GB"/>
              </w:rPr>
              <w:t>6</w:t>
            </w:r>
            <w:r w:rsidRPr="00BB79FA">
              <w:rPr>
                <w:rFonts w:ascii="Arial" w:eastAsia="Arial" w:hAnsi="Arial" w:cs="Arial"/>
                <w:i/>
                <w:iCs/>
                <w:color w:val="000000" w:themeColor="text1"/>
                <w:lang w:eastAsia="en-GB"/>
              </w:rPr>
              <w:t>2, 2</w:t>
            </w:r>
            <w:r w:rsidR="00C818FA" w:rsidRPr="00BB79FA">
              <w:rPr>
                <w:rFonts w:ascii="Arial" w:eastAsia="Arial" w:hAnsi="Arial" w:cs="Arial"/>
                <w:i/>
                <w:iCs/>
                <w:color w:val="000000" w:themeColor="text1"/>
                <w:lang w:eastAsia="en-GB"/>
              </w:rPr>
              <w:t>6</w:t>
            </w:r>
            <w:r w:rsidRPr="00BB79FA">
              <w:rPr>
                <w:rFonts w:ascii="Arial" w:eastAsia="Arial" w:hAnsi="Arial" w:cs="Arial"/>
                <w:i/>
                <w:iCs/>
                <w:color w:val="000000" w:themeColor="text1"/>
                <w:lang w:eastAsia="en-GB"/>
              </w:rPr>
              <w:t>3; 2</w:t>
            </w:r>
            <w:r w:rsidR="00C818FA" w:rsidRPr="00BB79FA">
              <w:rPr>
                <w:rFonts w:ascii="Arial" w:eastAsia="Arial" w:hAnsi="Arial" w:cs="Arial"/>
                <w:i/>
                <w:iCs/>
                <w:color w:val="000000" w:themeColor="text1"/>
                <w:lang w:eastAsia="en-GB"/>
              </w:rPr>
              <w:t>6</w:t>
            </w:r>
            <w:r w:rsidRPr="00BB79FA">
              <w:rPr>
                <w:rFonts w:ascii="Arial" w:eastAsia="Arial" w:hAnsi="Arial" w:cs="Arial"/>
                <w:i/>
                <w:iCs/>
                <w:color w:val="000000" w:themeColor="text1"/>
                <w:lang w:eastAsia="en-GB"/>
              </w:rPr>
              <w:t>4; and 2</w:t>
            </w:r>
            <w:r w:rsidR="00C818FA" w:rsidRPr="00BB79FA">
              <w:rPr>
                <w:rFonts w:ascii="Arial" w:eastAsia="Arial" w:hAnsi="Arial" w:cs="Arial"/>
                <w:i/>
                <w:iCs/>
                <w:color w:val="000000" w:themeColor="text1"/>
                <w:lang w:eastAsia="en-GB"/>
              </w:rPr>
              <w:t>6</w:t>
            </w:r>
            <w:r w:rsidRPr="00BB79FA">
              <w:rPr>
                <w:rFonts w:ascii="Arial" w:eastAsia="Arial" w:hAnsi="Arial" w:cs="Arial"/>
                <w:i/>
                <w:iCs/>
                <w:color w:val="000000" w:themeColor="text1"/>
                <w:lang w:eastAsia="en-GB"/>
              </w:rPr>
              <w:t>5.</w:t>
            </w:r>
          </w:p>
          <w:p w14:paraId="2F7A8354" w14:textId="77777777" w:rsidR="00E477C3" w:rsidRPr="00BB79FA" w:rsidRDefault="00E477C3" w:rsidP="00E477C3">
            <w:pPr>
              <w:rPr>
                <w:rFonts w:ascii="Arial" w:eastAsia="Arial" w:hAnsi="Arial" w:cs="Arial"/>
                <w:i/>
                <w:iCs/>
                <w:color w:val="000000" w:themeColor="text1"/>
                <w:lang w:eastAsia="en-GB"/>
              </w:rPr>
            </w:pPr>
          </w:p>
          <w:p w14:paraId="65C41C31" w14:textId="074E6317" w:rsidR="00E477C3" w:rsidRPr="00BB79FA" w:rsidRDefault="00E477C3" w:rsidP="00E477C3">
            <w:pPr>
              <w:rPr>
                <w:rFonts w:ascii="Arial" w:eastAsia="Arial" w:hAnsi="Arial" w:cs="Arial"/>
                <w:i/>
                <w:iCs/>
                <w:color w:val="000000" w:themeColor="text1"/>
                <w:lang w:eastAsia="en-GB"/>
              </w:rPr>
            </w:pPr>
            <w:r w:rsidRPr="00BB79FA">
              <w:rPr>
                <w:rFonts w:ascii="Arial" w:eastAsia="Arial" w:hAnsi="Arial" w:cs="Arial"/>
                <w:i/>
                <w:iCs/>
                <w:color w:val="000000" w:themeColor="text1"/>
                <w:lang w:eastAsia="en-GB"/>
              </w:rPr>
              <w:t>This row will be calculated by a formula, firms do not need to report here.</w:t>
            </w:r>
          </w:p>
          <w:p w14:paraId="4A1183C5" w14:textId="14A4DEB9" w:rsidR="00E477C3" w:rsidRPr="00BB79FA" w:rsidRDefault="00E477C3" w:rsidP="00E477C3">
            <w:pPr>
              <w:rPr>
                <w:rFonts w:ascii="Arial" w:eastAsia="Times New Roman" w:hAnsi="Arial" w:cs="Arial"/>
                <w:b/>
                <w:i/>
                <w:color w:val="000000"/>
                <w:lang w:eastAsia="en-GB"/>
              </w:rPr>
            </w:pPr>
          </w:p>
        </w:tc>
      </w:tr>
      <w:tr w:rsidR="00E477C3" w:rsidRPr="00BB79FA" w14:paraId="1130FDEC" w14:textId="77777777" w:rsidTr="00E00D98">
        <w:trPr>
          <w:trHeight w:val="276"/>
        </w:trPr>
        <w:tc>
          <w:tcPr>
            <w:tcW w:w="756" w:type="dxa"/>
            <w:noWrap/>
            <w:hideMark/>
          </w:tcPr>
          <w:p w14:paraId="18DAA562" w14:textId="004B44EA" w:rsidR="00E477C3" w:rsidRPr="00BB79FA" w:rsidRDefault="00E477C3" w:rsidP="00E477C3">
            <w:pPr>
              <w:rPr>
                <w:rFonts w:ascii="Arial" w:eastAsia="Times New Roman" w:hAnsi="Arial" w:cs="Arial"/>
                <w:color w:val="000000"/>
                <w:lang w:eastAsia="en-GB"/>
              </w:rPr>
            </w:pPr>
            <w:r w:rsidRPr="00BB79FA">
              <w:rPr>
                <w:rFonts w:ascii="Arial" w:eastAsia="Arial" w:hAnsi="Arial" w:cs="Arial"/>
                <w:color w:val="000000"/>
                <w:lang w:eastAsia="en-GB"/>
              </w:rPr>
              <w:t>261</w:t>
            </w:r>
          </w:p>
        </w:tc>
        <w:tc>
          <w:tcPr>
            <w:tcW w:w="7667" w:type="dxa"/>
            <w:noWrap/>
            <w:hideMark/>
          </w:tcPr>
          <w:p w14:paraId="55685153" w14:textId="77777777" w:rsidR="00E477C3" w:rsidRPr="00BB79FA" w:rsidRDefault="00E477C3" w:rsidP="00E477C3">
            <w:pPr>
              <w:rPr>
                <w:rFonts w:ascii="Arial" w:eastAsia="Arial" w:hAnsi="Arial" w:cs="Arial"/>
                <w:i/>
                <w:iCs/>
                <w:color w:val="000000" w:themeColor="text1"/>
                <w:lang w:eastAsia="en-GB"/>
              </w:rPr>
            </w:pPr>
            <w:r w:rsidRPr="00BB79FA">
              <w:rPr>
                <w:rFonts w:ascii="Arial" w:eastAsia="Arial" w:hAnsi="Arial" w:cs="Arial"/>
                <w:i/>
                <w:color w:val="000000"/>
                <w:lang w:eastAsia="en-GB"/>
              </w:rPr>
              <w:t xml:space="preserve"> </w:t>
            </w:r>
            <w:r w:rsidRPr="00BB79FA">
              <w:rPr>
                <w:rFonts w:ascii="Arial" w:eastAsia="Arial" w:hAnsi="Arial" w:cs="Arial"/>
                <w:i/>
                <w:color w:val="000000"/>
                <w:u w:val="single"/>
                <w:lang w:eastAsia="en-GB"/>
              </w:rPr>
              <w:t xml:space="preserve">     of which: assigned a RW of 20%</w:t>
            </w:r>
            <w:r w:rsidRPr="00BB79FA">
              <w:rPr>
                <w:rFonts w:ascii="Arial" w:eastAsia="Arial" w:hAnsi="Arial" w:cs="Arial"/>
                <w:i/>
                <w:color w:val="000000"/>
                <w:lang w:eastAsia="en-GB"/>
              </w:rPr>
              <w:t xml:space="preserve"> </w:t>
            </w:r>
          </w:p>
          <w:p w14:paraId="1E04B44C" w14:textId="155935B3" w:rsidR="00E477C3" w:rsidRPr="00BB79FA" w:rsidRDefault="00E477C3" w:rsidP="00E477C3">
            <w:pPr>
              <w:rPr>
                <w:rFonts w:ascii="Arial" w:eastAsia="Arial" w:hAnsi="Arial" w:cs="Arial"/>
                <w:i/>
                <w:iCs/>
                <w:color w:val="000000" w:themeColor="text1"/>
                <w:lang w:eastAsia="en-GB"/>
              </w:rPr>
            </w:pPr>
          </w:p>
          <w:p w14:paraId="6A1801AE" w14:textId="560B92FF" w:rsidR="00E477C3" w:rsidRPr="00BB79FA" w:rsidRDefault="00E477C3" w:rsidP="00E477C3">
            <w:pPr>
              <w:rPr>
                <w:rFonts w:ascii="Arial" w:eastAsia="Arial" w:hAnsi="Arial" w:cs="Arial"/>
                <w:i/>
                <w:iCs/>
                <w:color w:val="000000" w:themeColor="text1"/>
                <w:lang w:eastAsia="en-GB"/>
              </w:rPr>
            </w:pPr>
            <w:r w:rsidRPr="00BB79FA">
              <w:rPr>
                <w:rFonts w:ascii="Arial" w:eastAsia="Arial" w:hAnsi="Arial" w:cs="Arial"/>
                <w:i/>
                <w:iCs/>
                <w:color w:val="000000" w:themeColor="text1"/>
                <w:lang w:eastAsia="en-GB"/>
              </w:rPr>
              <w:t xml:space="preserve">Only project finance exposures that are </w:t>
            </w:r>
            <w:r w:rsidRPr="00BB79FA">
              <w:rPr>
                <w:rFonts w:ascii="Arial" w:eastAsia="Arial" w:hAnsi="Arial" w:cs="Arial"/>
                <w:i/>
                <w:iCs/>
              </w:rPr>
              <w:t>assigned a risk weight of 20% under Article 122B(1) of the Credit Risk: Standardised Approach (CRR) Part shall be reported here.</w:t>
            </w:r>
          </w:p>
          <w:p w14:paraId="1707616B" w14:textId="7E0DC721" w:rsidR="00E477C3" w:rsidRPr="00BB79FA" w:rsidRDefault="00E477C3" w:rsidP="00E477C3">
            <w:pPr>
              <w:rPr>
                <w:rFonts w:ascii="Arial" w:eastAsia="Times New Roman" w:hAnsi="Arial" w:cs="Arial"/>
                <w:i/>
                <w:color w:val="000000"/>
                <w:lang w:eastAsia="en-GB"/>
              </w:rPr>
            </w:pPr>
          </w:p>
        </w:tc>
      </w:tr>
      <w:tr w:rsidR="00E477C3" w:rsidRPr="00BB79FA" w14:paraId="6879BEB4" w14:textId="77777777" w:rsidTr="00E00D98">
        <w:trPr>
          <w:trHeight w:val="276"/>
        </w:trPr>
        <w:tc>
          <w:tcPr>
            <w:tcW w:w="756" w:type="dxa"/>
            <w:noWrap/>
            <w:hideMark/>
          </w:tcPr>
          <w:p w14:paraId="1F89F51E" w14:textId="42000166" w:rsidR="00E477C3" w:rsidRPr="00BB79FA" w:rsidRDefault="00E477C3" w:rsidP="00E477C3">
            <w:pPr>
              <w:rPr>
                <w:rFonts w:ascii="Arial" w:eastAsia="Times New Roman" w:hAnsi="Arial" w:cs="Arial"/>
                <w:color w:val="000000"/>
                <w:lang w:eastAsia="en-GB"/>
              </w:rPr>
            </w:pPr>
            <w:r w:rsidRPr="00BB79FA">
              <w:rPr>
                <w:rFonts w:ascii="Arial" w:eastAsia="Arial" w:hAnsi="Arial" w:cs="Arial"/>
                <w:color w:val="000000"/>
                <w:lang w:eastAsia="en-GB"/>
              </w:rPr>
              <w:t>262</w:t>
            </w:r>
          </w:p>
        </w:tc>
        <w:tc>
          <w:tcPr>
            <w:tcW w:w="7667" w:type="dxa"/>
            <w:noWrap/>
            <w:hideMark/>
          </w:tcPr>
          <w:p w14:paraId="376DF6D3" w14:textId="77777777" w:rsidR="00E477C3" w:rsidRPr="00BB79FA" w:rsidRDefault="00E477C3" w:rsidP="00E477C3">
            <w:pPr>
              <w:rPr>
                <w:rFonts w:ascii="Arial" w:eastAsia="Arial" w:hAnsi="Arial" w:cs="Arial"/>
                <w:i/>
                <w:color w:val="000000" w:themeColor="text1"/>
                <w:u w:val="single"/>
                <w:lang w:eastAsia="en-GB"/>
              </w:rPr>
            </w:pPr>
            <w:r w:rsidRPr="00BB79FA">
              <w:rPr>
                <w:rFonts w:ascii="Arial" w:eastAsia="Arial" w:hAnsi="Arial" w:cs="Arial"/>
                <w:i/>
                <w:color w:val="000000"/>
                <w:u w:val="single"/>
                <w:lang w:eastAsia="en-GB"/>
              </w:rPr>
              <w:t xml:space="preserve">      of which: assigned a RW of 50% </w:t>
            </w:r>
          </w:p>
          <w:p w14:paraId="10A2CEED" w14:textId="72B435F9" w:rsidR="00E477C3" w:rsidRPr="00BB79FA" w:rsidRDefault="00E477C3" w:rsidP="00E477C3">
            <w:pPr>
              <w:rPr>
                <w:rFonts w:ascii="Arial" w:eastAsia="Arial" w:hAnsi="Arial" w:cs="Arial"/>
                <w:i/>
                <w:iCs/>
                <w:color w:val="000000" w:themeColor="text1"/>
                <w:lang w:eastAsia="en-GB"/>
              </w:rPr>
            </w:pPr>
          </w:p>
          <w:p w14:paraId="09AA0B84" w14:textId="375BEE58" w:rsidR="00E477C3" w:rsidRPr="00BB79FA" w:rsidRDefault="00E477C3" w:rsidP="00E477C3">
            <w:pPr>
              <w:rPr>
                <w:rFonts w:ascii="Arial" w:eastAsia="Arial" w:hAnsi="Arial" w:cs="Arial"/>
                <w:i/>
                <w:iCs/>
              </w:rPr>
            </w:pPr>
            <w:r w:rsidRPr="00BB79FA">
              <w:rPr>
                <w:rFonts w:ascii="Arial" w:eastAsia="Arial" w:hAnsi="Arial" w:cs="Arial"/>
                <w:i/>
                <w:iCs/>
                <w:color w:val="000000" w:themeColor="text1"/>
                <w:lang w:eastAsia="en-GB"/>
              </w:rPr>
              <w:t xml:space="preserve">Only project finance exposures that are </w:t>
            </w:r>
            <w:r w:rsidRPr="00BB79FA">
              <w:rPr>
                <w:rFonts w:ascii="Arial" w:eastAsia="Arial" w:hAnsi="Arial" w:cs="Arial"/>
                <w:i/>
                <w:iCs/>
              </w:rPr>
              <w:t>assigned a risk weight of 50% under Article 122B(1) of the Credit Risk: Standardised Approach (CRR) Part shall be reported here.</w:t>
            </w:r>
          </w:p>
          <w:p w14:paraId="0A8D4416" w14:textId="719D2E6D" w:rsidR="00E477C3" w:rsidRPr="00BB79FA" w:rsidRDefault="00E477C3" w:rsidP="00E477C3">
            <w:pPr>
              <w:rPr>
                <w:rFonts w:ascii="Arial" w:eastAsia="Times New Roman" w:hAnsi="Arial" w:cs="Arial"/>
                <w:i/>
                <w:color w:val="000000"/>
                <w:lang w:eastAsia="en-GB"/>
              </w:rPr>
            </w:pPr>
          </w:p>
        </w:tc>
      </w:tr>
      <w:tr w:rsidR="00E477C3" w:rsidRPr="00BB79FA" w14:paraId="6F627B5B" w14:textId="77777777" w:rsidTr="00E00D98">
        <w:trPr>
          <w:trHeight w:val="276"/>
        </w:trPr>
        <w:tc>
          <w:tcPr>
            <w:tcW w:w="756" w:type="dxa"/>
            <w:noWrap/>
            <w:hideMark/>
          </w:tcPr>
          <w:p w14:paraId="219600DE" w14:textId="253C2242" w:rsidR="00E477C3" w:rsidRPr="00BB79FA" w:rsidRDefault="00E477C3" w:rsidP="00E477C3">
            <w:pPr>
              <w:rPr>
                <w:rFonts w:ascii="Arial" w:eastAsia="Times New Roman" w:hAnsi="Arial" w:cs="Arial"/>
                <w:color w:val="000000"/>
                <w:lang w:eastAsia="en-GB"/>
              </w:rPr>
            </w:pPr>
            <w:r w:rsidRPr="00BB79FA">
              <w:rPr>
                <w:rFonts w:ascii="Arial" w:eastAsia="Arial" w:hAnsi="Arial" w:cs="Arial"/>
                <w:color w:val="000000"/>
                <w:lang w:eastAsia="en-GB"/>
              </w:rPr>
              <w:t>263</w:t>
            </w:r>
          </w:p>
        </w:tc>
        <w:tc>
          <w:tcPr>
            <w:tcW w:w="7667" w:type="dxa"/>
            <w:noWrap/>
            <w:hideMark/>
          </w:tcPr>
          <w:p w14:paraId="41C7401B" w14:textId="77777777" w:rsidR="00E477C3" w:rsidRPr="00BB79FA" w:rsidRDefault="00E477C3" w:rsidP="00E477C3">
            <w:pPr>
              <w:rPr>
                <w:rFonts w:ascii="Arial" w:eastAsia="Arial" w:hAnsi="Arial" w:cs="Arial"/>
                <w:i/>
                <w:iCs/>
                <w:color w:val="000000" w:themeColor="text1"/>
                <w:lang w:eastAsia="en-GB"/>
              </w:rPr>
            </w:pPr>
            <w:r w:rsidRPr="00BB79FA">
              <w:rPr>
                <w:rFonts w:ascii="Arial" w:eastAsia="Arial" w:hAnsi="Arial" w:cs="Arial"/>
                <w:i/>
                <w:color w:val="000000"/>
                <w:lang w:eastAsia="en-GB"/>
              </w:rPr>
              <w:t xml:space="preserve"> </w:t>
            </w:r>
            <w:r w:rsidRPr="00BB79FA">
              <w:rPr>
                <w:rFonts w:ascii="Arial" w:eastAsia="Arial" w:hAnsi="Arial" w:cs="Arial"/>
                <w:i/>
                <w:color w:val="000000"/>
                <w:u w:val="single"/>
                <w:lang w:eastAsia="en-GB"/>
              </w:rPr>
              <w:t xml:space="preserve">     of which: assigned a RW of 75%</w:t>
            </w:r>
          </w:p>
          <w:p w14:paraId="13F329B2" w14:textId="13B1C1E3" w:rsidR="00E477C3" w:rsidRPr="00BB79FA" w:rsidRDefault="00E477C3" w:rsidP="00E477C3">
            <w:pPr>
              <w:rPr>
                <w:rFonts w:ascii="Arial" w:eastAsia="Arial" w:hAnsi="Arial" w:cs="Arial"/>
                <w:i/>
                <w:iCs/>
                <w:color w:val="000000" w:themeColor="text1"/>
                <w:lang w:eastAsia="en-GB"/>
              </w:rPr>
            </w:pPr>
          </w:p>
          <w:p w14:paraId="35E43333" w14:textId="77777777" w:rsidR="00E477C3" w:rsidRPr="00BB79FA" w:rsidRDefault="00E477C3" w:rsidP="00E477C3">
            <w:pPr>
              <w:rPr>
                <w:rFonts w:ascii="Arial" w:eastAsia="Arial" w:hAnsi="Arial" w:cs="Arial"/>
                <w:i/>
                <w:iCs/>
              </w:rPr>
            </w:pPr>
            <w:r w:rsidRPr="00BB79FA">
              <w:rPr>
                <w:rFonts w:ascii="Arial" w:eastAsia="Arial" w:hAnsi="Arial" w:cs="Arial"/>
                <w:i/>
                <w:iCs/>
                <w:color w:val="000000" w:themeColor="text1"/>
                <w:lang w:eastAsia="en-GB"/>
              </w:rPr>
              <w:t xml:space="preserve">Only project finance exposures that are </w:t>
            </w:r>
            <w:r w:rsidRPr="00BB79FA">
              <w:rPr>
                <w:rFonts w:ascii="Arial" w:eastAsia="Arial" w:hAnsi="Arial" w:cs="Arial"/>
                <w:i/>
                <w:iCs/>
              </w:rPr>
              <w:t>assigned a risk weight of 75% under Article 122B(1) of the Credit Risk: Standardised Approach (CRR) Part shall be reported here.</w:t>
            </w:r>
          </w:p>
          <w:p w14:paraId="12AC19B2" w14:textId="1C4E9291" w:rsidR="00E477C3" w:rsidRPr="00BB79FA" w:rsidRDefault="00E477C3" w:rsidP="00E477C3">
            <w:pPr>
              <w:rPr>
                <w:rFonts w:ascii="Arial" w:eastAsia="Times New Roman" w:hAnsi="Arial" w:cs="Arial"/>
                <w:i/>
                <w:color w:val="000000"/>
                <w:lang w:eastAsia="en-GB"/>
              </w:rPr>
            </w:pPr>
          </w:p>
        </w:tc>
      </w:tr>
      <w:tr w:rsidR="00E477C3" w:rsidRPr="00BB79FA" w14:paraId="3D0A8601" w14:textId="77777777" w:rsidTr="00E00D98">
        <w:trPr>
          <w:trHeight w:val="276"/>
        </w:trPr>
        <w:tc>
          <w:tcPr>
            <w:tcW w:w="756" w:type="dxa"/>
            <w:noWrap/>
            <w:hideMark/>
          </w:tcPr>
          <w:p w14:paraId="30234D04" w14:textId="77C07501" w:rsidR="00E477C3" w:rsidRPr="00BB79FA" w:rsidRDefault="00E477C3" w:rsidP="00E477C3">
            <w:pPr>
              <w:rPr>
                <w:rFonts w:ascii="Arial" w:eastAsia="Times New Roman" w:hAnsi="Arial" w:cs="Arial"/>
                <w:color w:val="000000"/>
                <w:lang w:eastAsia="en-GB"/>
              </w:rPr>
            </w:pPr>
            <w:r w:rsidRPr="00BB79FA">
              <w:rPr>
                <w:rFonts w:ascii="Arial" w:eastAsia="Arial" w:hAnsi="Arial" w:cs="Arial"/>
                <w:color w:val="000000"/>
                <w:lang w:eastAsia="en-GB"/>
              </w:rPr>
              <w:t>264</w:t>
            </w:r>
          </w:p>
        </w:tc>
        <w:tc>
          <w:tcPr>
            <w:tcW w:w="7667" w:type="dxa"/>
            <w:noWrap/>
            <w:hideMark/>
          </w:tcPr>
          <w:p w14:paraId="081045EB" w14:textId="77777777" w:rsidR="00E477C3" w:rsidRPr="00BB79FA" w:rsidRDefault="00E477C3" w:rsidP="00E477C3">
            <w:pPr>
              <w:rPr>
                <w:rFonts w:ascii="Arial" w:eastAsia="Arial" w:hAnsi="Arial" w:cs="Arial"/>
                <w:i/>
                <w:iCs/>
                <w:color w:val="000000" w:themeColor="text1"/>
                <w:u w:val="single"/>
                <w:lang w:eastAsia="en-GB"/>
              </w:rPr>
            </w:pPr>
            <w:r w:rsidRPr="00BB79FA">
              <w:rPr>
                <w:rFonts w:ascii="Arial" w:eastAsia="Arial" w:hAnsi="Arial" w:cs="Arial"/>
                <w:i/>
                <w:color w:val="000000"/>
                <w:u w:val="single"/>
                <w:lang w:eastAsia="en-GB"/>
              </w:rPr>
              <w:t xml:space="preserve">      of which: assigned a RW of 100% </w:t>
            </w:r>
          </w:p>
          <w:p w14:paraId="7356EBD0" w14:textId="40AEEC53" w:rsidR="00E477C3" w:rsidRPr="00BB79FA" w:rsidRDefault="00E477C3" w:rsidP="00E477C3">
            <w:pPr>
              <w:rPr>
                <w:rFonts w:ascii="Arial" w:eastAsia="Arial" w:hAnsi="Arial" w:cs="Arial"/>
                <w:i/>
                <w:iCs/>
                <w:color w:val="000000" w:themeColor="text1"/>
                <w:lang w:eastAsia="en-GB"/>
              </w:rPr>
            </w:pPr>
          </w:p>
          <w:p w14:paraId="1D8D1C0A" w14:textId="0A49DC93" w:rsidR="00E477C3" w:rsidRPr="00BB79FA" w:rsidRDefault="00E477C3" w:rsidP="00E477C3">
            <w:pPr>
              <w:rPr>
                <w:rFonts w:ascii="Arial" w:eastAsia="Arial" w:hAnsi="Arial" w:cs="Arial"/>
                <w:i/>
                <w:iCs/>
              </w:rPr>
            </w:pPr>
            <w:r w:rsidRPr="00BB79FA">
              <w:rPr>
                <w:rFonts w:ascii="Arial" w:eastAsia="Arial" w:hAnsi="Arial" w:cs="Arial"/>
                <w:i/>
                <w:iCs/>
                <w:color w:val="000000" w:themeColor="text1"/>
                <w:lang w:eastAsia="en-GB"/>
              </w:rPr>
              <w:lastRenderedPageBreak/>
              <w:t xml:space="preserve">Only project finance exposures that are </w:t>
            </w:r>
            <w:r w:rsidRPr="00BB79FA">
              <w:rPr>
                <w:rFonts w:ascii="Arial" w:eastAsia="Arial" w:hAnsi="Arial" w:cs="Arial"/>
                <w:i/>
                <w:iCs/>
              </w:rPr>
              <w:t>assigned a risk weight of 100% under Article 122B(1) of the Credit Risk: Standardised Approach (CRR) Part shall be reported here.</w:t>
            </w:r>
          </w:p>
          <w:p w14:paraId="554E6F23" w14:textId="5EFDE83D" w:rsidR="00E477C3" w:rsidRPr="00BB79FA" w:rsidRDefault="00E477C3" w:rsidP="00E477C3">
            <w:pPr>
              <w:rPr>
                <w:rFonts w:ascii="Arial" w:eastAsia="Times New Roman" w:hAnsi="Arial" w:cs="Arial"/>
                <w:i/>
                <w:color w:val="000000"/>
                <w:lang w:eastAsia="en-GB"/>
              </w:rPr>
            </w:pPr>
          </w:p>
        </w:tc>
      </w:tr>
      <w:tr w:rsidR="00E477C3" w:rsidRPr="00BB79FA" w14:paraId="05ACDCF4" w14:textId="77777777" w:rsidTr="00E00D98">
        <w:trPr>
          <w:trHeight w:val="276"/>
        </w:trPr>
        <w:tc>
          <w:tcPr>
            <w:tcW w:w="756" w:type="dxa"/>
            <w:noWrap/>
            <w:hideMark/>
          </w:tcPr>
          <w:p w14:paraId="57C3AA9B" w14:textId="50AC834D" w:rsidR="00E477C3" w:rsidRPr="00BB79FA" w:rsidRDefault="00E477C3" w:rsidP="00E477C3">
            <w:pPr>
              <w:rPr>
                <w:rFonts w:ascii="Arial" w:eastAsia="Times New Roman" w:hAnsi="Arial" w:cs="Arial"/>
                <w:color w:val="000000"/>
                <w:lang w:eastAsia="en-GB"/>
              </w:rPr>
            </w:pPr>
            <w:r w:rsidRPr="00BB79FA">
              <w:rPr>
                <w:rFonts w:ascii="Arial" w:eastAsia="Arial" w:hAnsi="Arial" w:cs="Arial"/>
                <w:color w:val="000000"/>
                <w:lang w:eastAsia="en-GB"/>
              </w:rPr>
              <w:lastRenderedPageBreak/>
              <w:t>265</w:t>
            </w:r>
          </w:p>
        </w:tc>
        <w:tc>
          <w:tcPr>
            <w:tcW w:w="7667" w:type="dxa"/>
            <w:noWrap/>
            <w:hideMark/>
          </w:tcPr>
          <w:p w14:paraId="74A87941" w14:textId="77777777" w:rsidR="00E477C3" w:rsidRPr="00BB79FA" w:rsidRDefault="00E477C3" w:rsidP="00E477C3">
            <w:pPr>
              <w:rPr>
                <w:rFonts w:ascii="Arial" w:eastAsia="Arial" w:hAnsi="Arial" w:cs="Arial"/>
                <w:i/>
                <w:iCs/>
                <w:color w:val="000000" w:themeColor="text1"/>
                <w:lang w:eastAsia="en-GB"/>
              </w:rPr>
            </w:pPr>
            <w:r w:rsidRPr="00BB79FA">
              <w:rPr>
                <w:rFonts w:ascii="Arial" w:eastAsia="Arial" w:hAnsi="Arial" w:cs="Arial"/>
                <w:i/>
                <w:color w:val="000000"/>
                <w:u w:val="single"/>
                <w:lang w:eastAsia="en-GB"/>
              </w:rPr>
              <w:t xml:space="preserve">      of which: assigned a RW of 150%</w:t>
            </w:r>
            <w:r w:rsidRPr="00BB79FA">
              <w:rPr>
                <w:rFonts w:ascii="Arial" w:eastAsia="Arial" w:hAnsi="Arial" w:cs="Arial"/>
                <w:i/>
                <w:color w:val="000000"/>
                <w:lang w:eastAsia="en-GB"/>
              </w:rPr>
              <w:t xml:space="preserve"> </w:t>
            </w:r>
          </w:p>
          <w:p w14:paraId="7E40B00A" w14:textId="50CDDF9C" w:rsidR="00E477C3" w:rsidRPr="00BB79FA" w:rsidRDefault="00E477C3" w:rsidP="00E477C3">
            <w:pPr>
              <w:rPr>
                <w:rFonts w:ascii="Arial" w:eastAsia="Arial" w:hAnsi="Arial" w:cs="Arial"/>
                <w:i/>
                <w:iCs/>
                <w:color w:val="000000" w:themeColor="text1"/>
                <w:lang w:eastAsia="en-GB"/>
              </w:rPr>
            </w:pPr>
          </w:p>
          <w:p w14:paraId="3DA85DB1" w14:textId="2FEA574C" w:rsidR="00E477C3" w:rsidRPr="00BB79FA" w:rsidRDefault="00E477C3" w:rsidP="00E477C3">
            <w:pPr>
              <w:rPr>
                <w:rFonts w:ascii="Arial" w:eastAsia="Arial" w:hAnsi="Arial" w:cs="Arial"/>
                <w:i/>
                <w:iCs/>
              </w:rPr>
            </w:pPr>
            <w:r w:rsidRPr="00BB79FA">
              <w:rPr>
                <w:rFonts w:ascii="Arial" w:eastAsia="Arial" w:hAnsi="Arial" w:cs="Arial"/>
                <w:i/>
                <w:iCs/>
                <w:color w:val="000000" w:themeColor="text1"/>
                <w:lang w:eastAsia="en-GB"/>
              </w:rPr>
              <w:t xml:space="preserve">Only project finance exposures that are </w:t>
            </w:r>
            <w:r w:rsidRPr="00BB79FA">
              <w:rPr>
                <w:rFonts w:ascii="Arial" w:eastAsia="Arial" w:hAnsi="Arial" w:cs="Arial"/>
                <w:i/>
                <w:iCs/>
              </w:rPr>
              <w:t>assigned a risk weight of 150% under Article 122B(1) of the Credit Risk: Standardised Approach (CRR) Part shall be reported here.</w:t>
            </w:r>
          </w:p>
          <w:p w14:paraId="0874D8C6" w14:textId="4DC34600" w:rsidR="00E477C3" w:rsidRPr="00BB79FA" w:rsidRDefault="00E477C3" w:rsidP="00E477C3">
            <w:pPr>
              <w:rPr>
                <w:rFonts w:ascii="Arial" w:eastAsia="Times New Roman" w:hAnsi="Arial" w:cs="Arial"/>
                <w:i/>
                <w:color w:val="000000"/>
                <w:lang w:eastAsia="en-GB"/>
              </w:rPr>
            </w:pPr>
          </w:p>
        </w:tc>
      </w:tr>
      <w:tr w:rsidR="00E477C3" w:rsidRPr="00BB79FA" w14:paraId="599DDFA3" w14:textId="77777777" w:rsidTr="00E00D98">
        <w:trPr>
          <w:trHeight w:val="276"/>
        </w:trPr>
        <w:tc>
          <w:tcPr>
            <w:tcW w:w="756" w:type="dxa"/>
            <w:noWrap/>
            <w:hideMark/>
          </w:tcPr>
          <w:p w14:paraId="53A538E2" w14:textId="256B2FF4" w:rsidR="00E477C3" w:rsidRPr="00BB79FA" w:rsidRDefault="00E477C3" w:rsidP="00E477C3">
            <w:pPr>
              <w:rPr>
                <w:rFonts w:ascii="Arial" w:eastAsia="Times New Roman" w:hAnsi="Arial" w:cs="Arial"/>
                <w:color w:val="000000"/>
                <w:lang w:eastAsia="en-GB"/>
              </w:rPr>
            </w:pPr>
            <w:r w:rsidRPr="00BB79FA">
              <w:rPr>
                <w:rFonts w:ascii="Arial" w:eastAsia="Arial" w:hAnsi="Arial" w:cs="Arial"/>
                <w:color w:val="000000"/>
                <w:lang w:eastAsia="en-GB"/>
              </w:rPr>
              <w:t>270</w:t>
            </w:r>
          </w:p>
        </w:tc>
        <w:tc>
          <w:tcPr>
            <w:tcW w:w="7667" w:type="dxa"/>
            <w:noWrap/>
            <w:hideMark/>
          </w:tcPr>
          <w:p w14:paraId="386D94E9" w14:textId="77777777" w:rsidR="00E477C3" w:rsidRPr="00BB79FA" w:rsidRDefault="00E477C3" w:rsidP="00E477C3">
            <w:pPr>
              <w:rPr>
                <w:rFonts w:ascii="Arial" w:eastAsia="Arial" w:hAnsi="Arial" w:cs="Arial"/>
                <w:b/>
                <w:i/>
                <w:color w:val="000000" w:themeColor="text1"/>
                <w:u w:val="single"/>
                <w:lang w:eastAsia="en-GB"/>
              </w:rPr>
            </w:pPr>
            <w:r w:rsidRPr="00BB79FA">
              <w:rPr>
                <w:rFonts w:ascii="Arial" w:eastAsia="Arial" w:hAnsi="Arial" w:cs="Arial"/>
                <w:b/>
                <w:i/>
                <w:color w:val="000000"/>
                <w:u w:val="single"/>
                <w:lang w:eastAsia="en-GB"/>
              </w:rPr>
              <w:t xml:space="preserve">   of which: other specialised lending exposures (non-project finance exposures)</w:t>
            </w:r>
          </w:p>
          <w:p w14:paraId="5EF68EDA" w14:textId="0AEAA25C" w:rsidR="00E477C3" w:rsidRPr="00BB79FA" w:rsidRDefault="00E477C3" w:rsidP="00E477C3">
            <w:pPr>
              <w:rPr>
                <w:rFonts w:ascii="Arial" w:eastAsia="Arial" w:hAnsi="Arial" w:cs="Arial"/>
                <w:b/>
                <w:bCs/>
                <w:i/>
                <w:iCs/>
                <w:color w:val="000000" w:themeColor="text1"/>
                <w:lang w:eastAsia="en-GB"/>
              </w:rPr>
            </w:pPr>
          </w:p>
          <w:p w14:paraId="5FFAB391" w14:textId="0400CB27" w:rsidR="00E477C3" w:rsidRPr="00BB79FA" w:rsidRDefault="00E477C3" w:rsidP="00E477C3">
            <w:pPr>
              <w:rPr>
                <w:rFonts w:ascii="Arial" w:eastAsia="Arial" w:hAnsi="Arial" w:cs="Arial"/>
                <w:i/>
                <w:color w:val="000000" w:themeColor="text1"/>
                <w:lang w:eastAsia="en-GB"/>
              </w:rPr>
            </w:pPr>
            <w:r w:rsidRPr="00BB79FA">
              <w:rPr>
                <w:rFonts w:ascii="Arial" w:eastAsia="Arial" w:hAnsi="Arial" w:cs="Arial"/>
                <w:i/>
                <w:iCs/>
                <w:color w:val="000000" w:themeColor="text1"/>
                <w:lang w:eastAsia="en-GB"/>
              </w:rPr>
              <w:t>Only object finance exposures and commodities finance exposures that are assigned the applicable risk weights under paragraphs (2)(a) and (2)(b) of Article 122B of the Credit Risk: Standardised Approach (CRR) Part shall be reported here.</w:t>
            </w:r>
          </w:p>
          <w:p w14:paraId="04841171" w14:textId="7E161FA9" w:rsidR="00E477C3" w:rsidRPr="00BB79FA" w:rsidRDefault="00E477C3" w:rsidP="00E477C3">
            <w:pPr>
              <w:rPr>
                <w:rFonts w:ascii="Arial" w:eastAsia="Times New Roman" w:hAnsi="Arial" w:cs="Arial"/>
                <w:b/>
                <w:i/>
                <w:color w:val="000000"/>
                <w:lang w:eastAsia="en-GB"/>
              </w:rPr>
            </w:pPr>
          </w:p>
        </w:tc>
      </w:tr>
    </w:tbl>
    <w:p w14:paraId="1191D82C" w14:textId="77777777" w:rsidR="00571EAC" w:rsidRDefault="00571EAC" w:rsidP="0073503F">
      <w:pPr>
        <w:rPr>
          <w:rFonts w:ascii="Arial" w:hAnsi="Arial" w:cs="Arial"/>
          <w:b/>
          <w:bCs/>
        </w:rPr>
        <w:sectPr w:rsidR="00571EAC">
          <w:pgSz w:w="11906" w:h="16838"/>
          <w:pgMar w:top="1440" w:right="1440" w:bottom="1440" w:left="1440" w:header="708" w:footer="708" w:gutter="0"/>
          <w:cols w:space="708"/>
          <w:docGrid w:linePitch="360"/>
        </w:sectPr>
      </w:pPr>
    </w:p>
    <w:p w14:paraId="4A937ECC" w14:textId="409199D0" w:rsidR="00421539" w:rsidRPr="00BB79FA" w:rsidRDefault="009D4BA0" w:rsidP="0073503F">
      <w:pPr>
        <w:rPr>
          <w:rFonts w:ascii="Arial" w:hAnsi="Arial" w:cs="Arial"/>
        </w:rPr>
      </w:pPr>
      <w:r w:rsidRPr="00BB79FA">
        <w:rPr>
          <w:rFonts w:ascii="Arial" w:hAnsi="Arial" w:cs="Arial"/>
          <w:b/>
          <w:bCs/>
        </w:rPr>
        <w:lastRenderedPageBreak/>
        <w:t xml:space="preserve">SUBMISSION </w:t>
      </w:r>
      <w:r w:rsidR="00A553B0" w:rsidRPr="00BB79FA">
        <w:rPr>
          <w:rFonts w:ascii="Arial" w:hAnsi="Arial" w:cs="Arial"/>
          <w:b/>
          <w:bCs/>
        </w:rPr>
        <w:t>C</w:t>
      </w:r>
      <w:r w:rsidR="00995A16">
        <w:rPr>
          <w:rFonts w:ascii="Arial" w:hAnsi="Arial" w:cs="Arial"/>
          <w:b/>
          <w:bCs/>
        </w:rPr>
        <w:t xml:space="preserve"> for SDDTs</w:t>
      </w:r>
      <w:r w:rsidR="00A553B0" w:rsidRPr="00BB79FA">
        <w:rPr>
          <w:rFonts w:ascii="Arial" w:hAnsi="Arial" w:cs="Arial"/>
          <w:b/>
          <w:bCs/>
        </w:rPr>
        <w:t xml:space="preserve">: </w:t>
      </w:r>
      <w:r w:rsidR="0071328F" w:rsidRPr="00BB79FA">
        <w:rPr>
          <w:rFonts w:ascii="Arial" w:hAnsi="Arial" w:cs="Arial"/>
          <w:b/>
          <w:bCs/>
        </w:rPr>
        <w:t>Relevant exposures for both lending adjustments</w:t>
      </w:r>
    </w:p>
    <w:p w14:paraId="60744AF1" w14:textId="72E1DAC4" w:rsidR="00C246B6" w:rsidRPr="00BB79FA" w:rsidRDefault="009D4BA0" w:rsidP="00A23969">
      <w:pPr>
        <w:pStyle w:val="Heading2"/>
        <w:numPr>
          <w:ilvl w:val="1"/>
          <w:numId w:val="43"/>
        </w:numPr>
        <w:ind w:left="567" w:hanging="567"/>
        <w:rPr>
          <w:color w:val="000000" w:themeColor="text1"/>
        </w:rPr>
      </w:pPr>
      <w:r w:rsidRPr="00BB79FA">
        <w:t xml:space="preserve">Submission </w:t>
      </w:r>
      <w:r w:rsidR="00A553B0" w:rsidRPr="00BB79FA">
        <w:t>C</w:t>
      </w:r>
      <w:r w:rsidR="00C246B6" w:rsidRPr="00BB79FA">
        <w:t xml:space="preserve"> shall include only those exposure</w:t>
      </w:r>
      <w:r w:rsidR="004F4129" w:rsidRPr="00BB79FA">
        <w:t>s</w:t>
      </w:r>
      <w:r w:rsidR="00C246B6" w:rsidRPr="00BB79FA">
        <w:t xml:space="preserve"> which are eligible for the SME </w:t>
      </w:r>
      <w:r w:rsidR="00280E56">
        <w:t>F</w:t>
      </w:r>
      <w:r w:rsidR="00C246B6" w:rsidRPr="00BB79FA">
        <w:t>actor in accordance with paragraph</w:t>
      </w:r>
      <w:r w:rsidR="00A553B0" w:rsidRPr="00BB79FA">
        <w:t>s 1.5 and</w:t>
      </w:r>
      <w:r w:rsidR="00C246B6" w:rsidRPr="00BB79FA">
        <w:t xml:space="preserve"> 1.</w:t>
      </w:r>
      <w:r w:rsidR="00A553B0" w:rsidRPr="00BB79FA">
        <w:t>6</w:t>
      </w:r>
      <w:r w:rsidR="00C246B6" w:rsidRPr="00BB79FA">
        <w:t xml:space="preserve"> and the </w:t>
      </w:r>
      <w:r w:rsidR="00280E56">
        <w:t>I</w:t>
      </w:r>
      <w:r w:rsidR="00C246B6" w:rsidRPr="00BB79FA">
        <w:t xml:space="preserve">nfrastructure </w:t>
      </w:r>
      <w:r w:rsidR="00280E56">
        <w:t>F</w:t>
      </w:r>
      <w:r w:rsidR="00C246B6" w:rsidRPr="00BB79FA">
        <w:t>actor in accordance with paragraph</w:t>
      </w:r>
      <w:r w:rsidR="00A553B0" w:rsidRPr="00BB79FA">
        <w:t>s</w:t>
      </w:r>
      <w:r w:rsidR="001338D8" w:rsidRPr="00BB79FA">
        <w:t xml:space="preserve"> 1.</w:t>
      </w:r>
      <w:r w:rsidR="00A553B0" w:rsidRPr="00BB79FA">
        <w:t>8 and 1.9</w:t>
      </w:r>
      <w:r w:rsidR="003025B6">
        <w:t xml:space="preserve">, and where the firm is </w:t>
      </w:r>
      <w:r w:rsidR="003025B6" w:rsidRPr="003025B6">
        <w:t xml:space="preserve">seeking to qualify for </w:t>
      </w:r>
      <w:r w:rsidR="003025B6">
        <w:t xml:space="preserve">both </w:t>
      </w:r>
      <w:r w:rsidR="003025B6" w:rsidRPr="003025B6">
        <w:t>the SME lending adjustment and the infrastructure lending adjustment</w:t>
      </w:r>
      <w:r w:rsidR="00E13296" w:rsidRPr="00BB79FA">
        <w:t>.</w:t>
      </w:r>
    </w:p>
    <w:p w14:paraId="0AC36064" w14:textId="60C5B8DD" w:rsidR="00421539" w:rsidRPr="00BB79FA" w:rsidRDefault="00421539" w:rsidP="00A23969">
      <w:pPr>
        <w:pStyle w:val="Heading2"/>
        <w:numPr>
          <w:ilvl w:val="1"/>
          <w:numId w:val="43"/>
        </w:numPr>
        <w:ind w:left="567" w:hanging="567"/>
        <w:rPr>
          <w:color w:val="000000" w:themeColor="text1"/>
        </w:rPr>
      </w:pPr>
      <w:r w:rsidRPr="00BB79FA">
        <w:rPr>
          <w:color w:val="000000" w:themeColor="text1"/>
        </w:rPr>
        <w:t>Instructions in respect of specific columns</w:t>
      </w: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655"/>
      </w:tblGrid>
      <w:tr w:rsidR="00242E12" w:rsidRPr="00BB79FA" w14:paraId="16697FFE" w14:textId="77777777" w:rsidTr="0F64D1EA">
        <w:trPr>
          <w:trHeight w:val="1008"/>
        </w:trPr>
        <w:tc>
          <w:tcPr>
            <w:tcW w:w="709" w:type="dxa"/>
            <w:noWrap/>
            <w:hideMark/>
          </w:tcPr>
          <w:p w14:paraId="6BEFCB47" w14:textId="002CBD3F" w:rsidR="00242E12" w:rsidRPr="00BB79FA" w:rsidRDefault="00242E12" w:rsidP="00242E12">
            <w:pPr>
              <w:spacing w:after="0" w:line="240" w:lineRule="auto"/>
              <w:rPr>
                <w:rFonts w:ascii="Arial" w:eastAsia="Times New Roman" w:hAnsi="Arial" w:cs="Arial"/>
                <w:color w:val="000000" w:themeColor="text1"/>
                <w:kern w:val="0"/>
                <w:lang w:eastAsia="en-GB"/>
                <w14:ligatures w14:val="none"/>
              </w:rPr>
            </w:pPr>
            <w:r w:rsidRPr="00BB79FA">
              <w:rPr>
                <w:rFonts w:ascii="Arial" w:eastAsia="Times New Roman" w:hAnsi="Arial" w:cs="Arial"/>
                <w:kern w:val="0"/>
                <w:lang w:eastAsia="en-GB"/>
                <w14:ligatures w14:val="none"/>
              </w:rPr>
              <w:t>010</w:t>
            </w:r>
          </w:p>
        </w:tc>
        <w:tc>
          <w:tcPr>
            <w:tcW w:w="7655" w:type="dxa"/>
            <w:hideMark/>
          </w:tcPr>
          <w:p w14:paraId="6E3BCEAA" w14:textId="77777777" w:rsidR="00242E12" w:rsidRPr="00BB79FA" w:rsidRDefault="00242E12" w:rsidP="00242E12">
            <w:pPr>
              <w:spacing w:after="0" w:line="240" w:lineRule="auto"/>
              <w:rPr>
                <w:rFonts w:ascii="Arial" w:eastAsia="Times New Roman" w:hAnsi="Arial" w:cs="Arial"/>
                <w:b/>
                <w:bCs/>
                <w:kern w:val="0"/>
                <w:lang w:eastAsia="en-GB"/>
                <w14:ligatures w14:val="none"/>
              </w:rPr>
            </w:pPr>
            <w:r w:rsidRPr="00BB79FA">
              <w:rPr>
                <w:rFonts w:ascii="Arial" w:eastAsia="Times New Roman" w:hAnsi="Arial" w:cs="Arial"/>
                <w:b/>
                <w:bCs/>
                <w:kern w:val="0"/>
                <w:lang w:eastAsia="en-GB"/>
                <w14:ligatures w14:val="none"/>
              </w:rPr>
              <w:t xml:space="preserve">Risk-weighted exposure amount </w:t>
            </w:r>
          </w:p>
          <w:p w14:paraId="0774355D" w14:textId="15BAE78A" w:rsidR="00242E12" w:rsidRPr="00BB79FA" w:rsidRDefault="00242E12" w:rsidP="00242E12">
            <w:pPr>
              <w:spacing w:after="0" w:line="240" w:lineRule="auto"/>
              <w:rPr>
                <w:rFonts w:ascii="Arial" w:eastAsia="Times New Roman" w:hAnsi="Arial" w:cs="Arial"/>
                <w:b/>
                <w:bCs/>
                <w:kern w:val="0"/>
                <w:lang w:eastAsia="en-GB"/>
                <w14:ligatures w14:val="none"/>
              </w:rPr>
            </w:pPr>
            <w:r w:rsidRPr="00BB79FA">
              <w:rPr>
                <w:rFonts w:ascii="Arial" w:eastAsia="Times New Roman" w:hAnsi="Arial" w:cs="Arial"/>
                <w:b/>
                <w:bCs/>
                <w:kern w:val="0"/>
                <w:lang w:eastAsia="en-GB"/>
                <w14:ligatures w14:val="none"/>
              </w:rPr>
              <w:t>Of which: unprotect</w:t>
            </w:r>
            <w:r w:rsidR="00110850">
              <w:rPr>
                <w:rFonts w:ascii="Arial" w:eastAsia="Times New Roman" w:hAnsi="Arial" w:cs="Arial"/>
                <w:b/>
                <w:bCs/>
                <w:kern w:val="0"/>
                <w:lang w:eastAsia="en-GB"/>
                <w14:ligatures w14:val="none"/>
              </w:rPr>
              <w:t>ed</w:t>
            </w:r>
            <w:r w:rsidRPr="00BB79FA">
              <w:rPr>
                <w:rFonts w:ascii="Arial" w:eastAsia="Times New Roman" w:hAnsi="Arial" w:cs="Arial"/>
                <w:b/>
                <w:bCs/>
                <w:kern w:val="0"/>
                <w:lang w:eastAsia="en-GB"/>
                <w14:ligatures w14:val="none"/>
              </w:rPr>
              <w:t xml:space="preserve"> part of the exposure amount</w:t>
            </w:r>
          </w:p>
          <w:p w14:paraId="102FEFF4" w14:textId="77777777" w:rsidR="00242E12" w:rsidRPr="00BB79FA" w:rsidRDefault="00242E12" w:rsidP="00242E12">
            <w:pPr>
              <w:spacing w:after="0" w:line="240" w:lineRule="auto"/>
              <w:rPr>
                <w:rFonts w:ascii="Arial" w:eastAsia="Times New Roman" w:hAnsi="Arial" w:cs="Arial"/>
                <w:b/>
                <w:bCs/>
                <w:kern w:val="0"/>
                <w:lang w:eastAsia="en-GB"/>
                <w14:ligatures w14:val="none"/>
              </w:rPr>
            </w:pPr>
          </w:p>
          <w:p w14:paraId="1A151BD7" w14:textId="0380E473" w:rsidR="00242E12" w:rsidRPr="00BB79FA" w:rsidRDefault="00242E12" w:rsidP="00242E12">
            <w:pPr>
              <w:spacing w:after="0" w:line="240" w:lineRule="auto"/>
              <w:rPr>
                <w:rFonts w:ascii="Arial" w:eastAsia="Times New Roman" w:hAnsi="Arial" w:cs="Arial"/>
                <w:kern w:val="0"/>
                <w:lang w:eastAsia="en-GB"/>
                <w14:ligatures w14:val="none"/>
              </w:rPr>
            </w:pPr>
            <w:r w:rsidRPr="00BB79FA">
              <w:rPr>
                <w:rFonts w:ascii="Arial" w:eastAsia="Times New Roman" w:hAnsi="Arial" w:cs="Arial"/>
                <w:kern w:val="0"/>
                <w:lang w:eastAsia="en-GB"/>
                <w14:ligatures w14:val="none"/>
              </w:rPr>
              <w:t>RWEAs for exposures which meet the scope described in paragraph 1.22.</w:t>
            </w:r>
          </w:p>
          <w:p w14:paraId="36D9C36C" w14:textId="77777777" w:rsidR="00242E12" w:rsidRPr="00BB79FA" w:rsidRDefault="00242E12" w:rsidP="00242E12">
            <w:pPr>
              <w:spacing w:after="0" w:line="240" w:lineRule="auto"/>
              <w:rPr>
                <w:rFonts w:ascii="Arial" w:eastAsia="Times New Roman" w:hAnsi="Arial" w:cs="Arial"/>
                <w:kern w:val="0"/>
                <w:lang w:eastAsia="en-GB"/>
                <w14:ligatures w14:val="none"/>
              </w:rPr>
            </w:pPr>
          </w:p>
          <w:p w14:paraId="5B2AE88A" w14:textId="6555754D" w:rsidR="00242E12" w:rsidRPr="00BB79FA" w:rsidRDefault="00242E12" w:rsidP="00242E12">
            <w:pPr>
              <w:spacing w:after="0" w:line="240" w:lineRule="auto"/>
              <w:rPr>
                <w:rFonts w:ascii="Arial" w:eastAsia="Times New Roman" w:hAnsi="Arial" w:cs="Arial"/>
                <w:kern w:val="0"/>
                <w:lang w:eastAsia="en-GB"/>
                <w14:ligatures w14:val="none"/>
              </w:rPr>
            </w:pPr>
            <w:r w:rsidRPr="00BB79FA">
              <w:rPr>
                <w:rFonts w:ascii="Arial" w:eastAsia="Times New Roman" w:hAnsi="Arial" w:cs="Arial"/>
                <w:kern w:val="0"/>
                <w:lang w:eastAsia="en-GB"/>
                <w14:ligatures w14:val="none"/>
              </w:rPr>
              <w:t xml:space="preserve">Only parts of the exposure amount that are unprotected, such that the parts of the exposure amount are not subject to credit risk mitigation techniques under Articles 222, 232, </w:t>
            </w:r>
            <w:r w:rsidR="000B6306">
              <w:rPr>
                <w:rFonts w:ascii="Arial" w:eastAsia="Times New Roman" w:hAnsi="Arial" w:cs="Arial"/>
                <w:kern w:val="0"/>
                <w:lang w:eastAsia="en-GB"/>
                <w14:ligatures w14:val="none"/>
              </w:rPr>
              <w:t xml:space="preserve">and </w:t>
            </w:r>
            <w:r w:rsidRPr="00BB79FA">
              <w:rPr>
                <w:rFonts w:ascii="Arial" w:eastAsia="Times New Roman" w:hAnsi="Arial" w:cs="Arial"/>
                <w:kern w:val="0"/>
                <w:lang w:eastAsia="en-GB"/>
                <w14:ligatures w14:val="none"/>
              </w:rPr>
              <w:t>235 of the Credit Risk Mitigation (CRR) Part, shall be reported here.</w:t>
            </w:r>
          </w:p>
          <w:p w14:paraId="116CCFB8" w14:textId="77777777" w:rsidR="00242E12" w:rsidRPr="00BB79FA" w:rsidRDefault="00242E12" w:rsidP="00242E12">
            <w:pPr>
              <w:spacing w:after="0" w:line="240" w:lineRule="auto"/>
              <w:rPr>
                <w:rFonts w:ascii="Arial" w:eastAsia="Times New Roman" w:hAnsi="Arial" w:cs="Arial"/>
                <w:b/>
                <w:color w:val="000000" w:themeColor="text1"/>
                <w:kern w:val="0"/>
                <w:lang w:eastAsia="en-GB"/>
                <w14:ligatures w14:val="none"/>
              </w:rPr>
            </w:pPr>
          </w:p>
        </w:tc>
      </w:tr>
      <w:tr w:rsidR="00242E12" w:rsidRPr="00BB79FA" w14:paraId="1AF2CF9B" w14:textId="77777777" w:rsidTr="0F64D1EA">
        <w:trPr>
          <w:trHeight w:val="1008"/>
        </w:trPr>
        <w:tc>
          <w:tcPr>
            <w:tcW w:w="709" w:type="dxa"/>
            <w:noWrap/>
          </w:tcPr>
          <w:p w14:paraId="1BEC90D4" w14:textId="1827DBF7" w:rsidR="00242E12" w:rsidRPr="00BB79FA" w:rsidRDefault="00242E12" w:rsidP="00242E12">
            <w:pPr>
              <w:spacing w:after="0" w:line="240" w:lineRule="auto"/>
              <w:rPr>
                <w:rFonts w:ascii="Arial" w:eastAsia="Times New Roman" w:hAnsi="Arial" w:cs="Arial"/>
                <w:color w:val="000000" w:themeColor="text1"/>
                <w:kern w:val="0"/>
                <w:lang w:eastAsia="en-GB"/>
                <w14:ligatures w14:val="none"/>
              </w:rPr>
            </w:pPr>
            <w:r w:rsidRPr="00BB79FA">
              <w:rPr>
                <w:rFonts w:ascii="Arial" w:eastAsia="Times New Roman" w:hAnsi="Arial" w:cs="Arial"/>
                <w:kern w:val="0"/>
                <w:lang w:eastAsia="en-GB"/>
                <w14:ligatures w14:val="none"/>
              </w:rPr>
              <w:t>020</w:t>
            </w:r>
          </w:p>
        </w:tc>
        <w:tc>
          <w:tcPr>
            <w:tcW w:w="7655" w:type="dxa"/>
          </w:tcPr>
          <w:p w14:paraId="4C2E4070" w14:textId="77777777" w:rsidR="00242E12" w:rsidRPr="00BB79FA" w:rsidRDefault="00242E12" w:rsidP="00242E12">
            <w:pPr>
              <w:spacing w:after="0" w:line="240" w:lineRule="auto"/>
              <w:rPr>
                <w:rFonts w:ascii="Arial" w:eastAsia="Times New Roman" w:hAnsi="Arial" w:cs="Arial"/>
                <w:b/>
                <w:bCs/>
                <w:kern w:val="0"/>
                <w:lang w:eastAsia="en-GB"/>
                <w14:ligatures w14:val="none"/>
              </w:rPr>
            </w:pPr>
            <w:r w:rsidRPr="00BB79FA">
              <w:rPr>
                <w:rFonts w:ascii="Arial" w:eastAsia="Times New Roman" w:hAnsi="Arial" w:cs="Arial"/>
                <w:b/>
                <w:bCs/>
                <w:kern w:val="0"/>
                <w:lang w:eastAsia="en-GB"/>
                <w14:ligatures w14:val="none"/>
              </w:rPr>
              <w:t xml:space="preserve">Risk-weighted exposure amount </w:t>
            </w:r>
          </w:p>
          <w:p w14:paraId="256ADAE3" w14:textId="77777777" w:rsidR="00242E12" w:rsidRPr="00BB79FA" w:rsidRDefault="00242E12" w:rsidP="00242E12">
            <w:pPr>
              <w:spacing w:after="0" w:line="240" w:lineRule="auto"/>
              <w:rPr>
                <w:rFonts w:ascii="Arial" w:eastAsia="Times New Roman" w:hAnsi="Arial" w:cs="Arial"/>
                <w:b/>
                <w:bCs/>
                <w:kern w:val="0"/>
                <w:lang w:eastAsia="en-GB"/>
                <w14:ligatures w14:val="none"/>
              </w:rPr>
            </w:pPr>
            <w:r w:rsidRPr="00BB79FA">
              <w:rPr>
                <w:rFonts w:ascii="Arial" w:eastAsia="Times New Roman" w:hAnsi="Arial" w:cs="Arial"/>
                <w:b/>
                <w:bCs/>
                <w:kern w:val="0"/>
                <w:lang w:eastAsia="en-GB"/>
                <w14:ligatures w14:val="none"/>
              </w:rPr>
              <w:t>Of which: protected part of the exposure amount</w:t>
            </w:r>
          </w:p>
          <w:p w14:paraId="0F5BF3E9" w14:textId="77777777" w:rsidR="00242E12" w:rsidRPr="00BB79FA" w:rsidRDefault="00242E12" w:rsidP="00242E12">
            <w:pPr>
              <w:spacing w:after="0" w:line="240" w:lineRule="auto"/>
              <w:rPr>
                <w:rFonts w:ascii="Arial" w:eastAsia="Times New Roman" w:hAnsi="Arial" w:cs="Arial"/>
                <w:b/>
                <w:bCs/>
                <w:kern w:val="0"/>
                <w:lang w:eastAsia="en-GB"/>
                <w14:ligatures w14:val="none"/>
              </w:rPr>
            </w:pPr>
          </w:p>
          <w:p w14:paraId="55A8E305" w14:textId="0870ABF3" w:rsidR="00242E12" w:rsidRPr="00BB79FA" w:rsidRDefault="00242E12" w:rsidP="00242E12">
            <w:pPr>
              <w:spacing w:after="0" w:line="240" w:lineRule="auto"/>
              <w:rPr>
                <w:rFonts w:ascii="Arial" w:eastAsia="Times New Roman" w:hAnsi="Arial" w:cs="Arial"/>
                <w:kern w:val="0"/>
                <w:lang w:eastAsia="en-GB"/>
                <w14:ligatures w14:val="none"/>
              </w:rPr>
            </w:pPr>
            <w:r w:rsidRPr="00BB79FA">
              <w:rPr>
                <w:rFonts w:ascii="Arial" w:eastAsia="Times New Roman" w:hAnsi="Arial" w:cs="Arial"/>
                <w:kern w:val="0"/>
                <w:lang w:eastAsia="en-GB"/>
                <w14:ligatures w14:val="none"/>
              </w:rPr>
              <w:t>RWEAs for exposures which meet the scope described in paragraph 1.22.</w:t>
            </w:r>
          </w:p>
          <w:p w14:paraId="4B1A2B8E" w14:textId="77777777" w:rsidR="00242E12" w:rsidRPr="00BB79FA" w:rsidRDefault="00242E12" w:rsidP="00242E12">
            <w:pPr>
              <w:spacing w:after="0" w:line="240" w:lineRule="auto"/>
              <w:rPr>
                <w:rFonts w:ascii="Arial" w:eastAsia="Times New Roman" w:hAnsi="Arial" w:cs="Arial"/>
                <w:kern w:val="0"/>
                <w:lang w:eastAsia="en-GB"/>
                <w14:ligatures w14:val="none"/>
              </w:rPr>
            </w:pPr>
          </w:p>
          <w:p w14:paraId="4605C046" w14:textId="6DE2DF9D" w:rsidR="00242E12" w:rsidRPr="00BB79FA" w:rsidRDefault="00242E12" w:rsidP="00242E12">
            <w:pPr>
              <w:spacing w:after="0" w:line="240" w:lineRule="auto"/>
              <w:rPr>
                <w:rFonts w:ascii="Arial" w:eastAsia="Times New Roman" w:hAnsi="Arial" w:cs="Arial"/>
                <w:kern w:val="0"/>
                <w:lang w:eastAsia="en-GB"/>
                <w14:ligatures w14:val="none"/>
              </w:rPr>
            </w:pPr>
            <w:r w:rsidRPr="00BB79FA">
              <w:rPr>
                <w:rFonts w:ascii="Arial" w:eastAsia="Times New Roman" w:hAnsi="Arial" w:cs="Arial"/>
                <w:kern w:val="0"/>
                <w:lang w:eastAsia="en-GB"/>
                <w14:ligatures w14:val="none"/>
              </w:rPr>
              <w:t xml:space="preserve">Only parts of the exposure amount that are protected, such that the parts of the exposure amount are subject to credit risk mitigation techniques under Articles 222, 232, </w:t>
            </w:r>
            <w:r w:rsidR="000B6306">
              <w:rPr>
                <w:rFonts w:ascii="Arial" w:eastAsia="Times New Roman" w:hAnsi="Arial" w:cs="Arial"/>
                <w:kern w:val="0"/>
                <w:lang w:eastAsia="en-GB"/>
                <w14:ligatures w14:val="none"/>
              </w:rPr>
              <w:t xml:space="preserve">and </w:t>
            </w:r>
            <w:r w:rsidRPr="00BB79FA">
              <w:rPr>
                <w:rFonts w:ascii="Arial" w:eastAsia="Times New Roman" w:hAnsi="Arial" w:cs="Arial"/>
                <w:kern w:val="0"/>
                <w:lang w:eastAsia="en-GB"/>
                <w14:ligatures w14:val="none"/>
              </w:rPr>
              <w:t>235 of the Credit Risk Mitigation (CRR) Part, shall be reported here.</w:t>
            </w:r>
          </w:p>
          <w:p w14:paraId="5D7CE1E4" w14:textId="77777777" w:rsidR="00242E12" w:rsidRPr="00BB79FA" w:rsidRDefault="00242E12" w:rsidP="00242E12">
            <w:pPr>
              <w:spacing w:after="0" w:line="240" w:lineRule="auto"/>
              <w:rPr>
                <w:rFonts w:ascii="Arial" w:eastAsia="Times New Roman" w:hAnsi="Arial" w:cs="Arial"/>
                <w:b/>
                <w:color w:val="000000" w:themeColor="text1"/>
                <w:kern w:val="0"/>
                <w:lang w:eastAsia="en-GB"/>
                <w14:ligatures w14:val="none"/>
              </w:rPr>
            </w:pPr>
          </w:p>
        </w:tc>
      </w:tr>
      <w:tr w:rsidR="00FD7F1D" w:rsidRPr="00BB79FA" w14:paraId="02B4E76D" w14:textId="77777777" w:rsidTr="0F64D1EA">
        <w:trPr>
          <w:trHeight w:val="276"/>
        </w:trPr>
        <w:tc>
          <w:tcPr>
            <w:tcW w:w="709" w:type="dxa"/>
            <w:noWrap/>
          </w:tcPr>
          <w:p w14:paraId="243B0808" w14:textId="6AAA4677" w:rsidR="00FD7F1D" w:rsidRPr="00BB79FA" w:rsidRDefault="00FD7F1D">
            <w:pPr>
              <w:spacing w:after="0" w:line="240" w:lineRule="auto"/>
              <w:rPr>
                <w:rFonts w:ascii="Arial" w:eastAsia="Times New Roman" w:hAnsi="Arial" w:cs="Arial"/>
                <w:kern w:val="0"/>
                <w:lang w:eastAsia="en-GB"/>
                <w14:ligatures w14:val="none"/>
              </w:rPr>
            </w:pPr>
            <w:r w:rsidRPr="00BB79FA">
              <w:rPr>
                <w:rFonts w:ascii="Arial" w:eastAsia="Times New Roman" w:hAnsi="Arial" w:cs="Arial"/>
                <w:kern w:val="0"/>
                <w:lang w:eastAsia="en-GB"/>
                <w14:ligatures w14:val="none"/>
              </w:rPr>
              <w:t>0</w:t>
            </w:r>
            <w:r w:rsidR="00242E12" w:rsidRPr="00BB79FA">
              <w:rPr>
                <w:rFonts w:ascii="Arial" w:eastAsia="Times New Roman" w:hAnsi="Arial" w:cs="Arial"/>
                <w:kern w:val="0"/>
                <w:lang w:eastAsia="en-GB"/>
                <w14:ligatures w14:val="none"/>
              </w:rPr>
              <w:t>3</w:t>
            </w:r>
            <w:r w:rsidRPr="00BB79FA">
              <w:rPr>
                <w:rFonts w:ascii="Arial" w:eastAsia="Times New Roman" w:hAnsi="Arial" w:cs="Arial"/>
                <w:kern w:val="0"/>
                <w:lang w:eastAsia="en-GB"/>
                <w14:ligatures w14:val="none"/>
              </w:rPr>
              <w:t>0</w:t>
            </w:r>
          </w:p>
        </w:tc>
        <w:tc>
          <w:tcPr>
            <w:tcW w:w="7655" w:type="dxa"/>
          </w:tcPr>
          <w:p w14:paraId="28E44B7E" w14:textId="70B7BD18" w:rsidR="00C868EF" w:rsidRPr="00BB79FA" w:rsidRDefault="004B01E7" w:rsidP="00B94AD6">
            <w:pPr>
              <w:spacing w:after="0" w:line="240" w:lineRule="auto"/>
              <w:rPr>
                <w:rFonts w:ascii="Arial" w:eastAsia="Times New Roman" w:hAnsi="Arial" w:cs="Arial"/>
                <w:b/>
                <w:kern w:val="0"/>
                <w:lang w:eastAsia="en-GB"/>
                <w14:ligatures w14:val="none"/>
              </w:rPr>
            </w:pPr>
            <w:r w:rsidRPr="00BB79FA">
              <w:rPr>
                <w:rFonts w:ascii="Arial" w:eastAsia="Times New Roman" w:hAnsi="Arial" w:cs="Arial"/>
                <w:b/>
                <w:bCs/>
                <w:kern w:val="0"/>
                <w:lang w:eastAsia="en-GB"/>
                <w14:ligatures w14:val="none"/>
              </w:rPr>
              <w:t>Weighted average SME F</w:t>
            </w:r>
            <w:r w:rsidR="00280E56">
              <w:rPr>
                <w:rFonts w:ascii="Arial" w:eastAsia="Times New Roman" w:hAnsi="Arial" w:cs="Arial"/>
                <w:b/>
                <w:bCs/>
                <w:kern w:val="0"/>
                <w:lang w:eastAsia="en-GB"/>
                <w14:ligatures w14:val="none"/>
              </w:rPr>
              <w:t>actor</w:t>
            </w:r>
          </w:p>
          <w:p w14:paraId="5B6AC28E" w14:textId="77777777" w:rsidR="00B94AD6" w:rsidRPr="00BB79FA" w:rsidRDefault="00B94AD6" w:rsidP="00B94AD6">
            <w:pPr>
              <w:spacing w:after="0" w:line="240" w:lineRule="auto"/>
              <w:rPr>
                <w:rFonts w:ascii="Arial" w:eastAsia="Times New Roman" w:hAnsi="Arial" w:cs="Arial"/>
                <w:b/>
                <w:bCs/>
                <w:kern w:val="0"/>
                <w:lang w:eastAsia="en-GB"/>
                <w14:ligatures w14:val="none"/>
              </w:rPr>
            </w:pPr>
          </w:p>
          <w:p w14:paraId="07AFEA1C" w14:textId="69D78723" w:rsidR="004B01E7" w:rsidRPr="00BB79FA" w:rsidRDefault="00242E12" w:rsidP="0086464F">
            <w:pPr>
              <w:rPr>
                <w:rFonts w:ascii="Arial" w:hAnsi="Arial" w:cs="Arial"/>
                <w:lang w:eastAsia="en-GB"/>
              </w:rPr>
            </w:pPr>
            <w:r w:rsidRPr="00BB79FA">
              <w:rPr>
                <w:rFonts w:ascii="Arial" w:hAnsi="Arial" w:cs="Arial"/>
                <w:lang w:eastAsia="en-GB"/>
              </w:rPr>
              <w:t xml:space="preserve">For exposures which meet the scope of paragraph 1.22, calculate the weighted average SME </w:t>
            </w:r>
            <w:r w:rsidR="00280E56">
              <w:rPr>
                <w:rFonts w:ascii="Arial" w:hAnsi="Arial" w:cs="Arial"/>
                <w:lang w:eastAsia="en-GB"/>
              </w:rPr>
              <w:t>F</w:t>
            </w:r>
            <w:r w:rsidRPr="00BB79FA">
              <w:rPr>
                <w:rFonts w:ascii="Arial" w:hAnsi="Arial" w:cs="Arial"/>
                <w:lang w:eastAsia="en-GB"/>
              </w:rPr>
              <w:t xml:space="preserve">actor for those exposures (weighted by RWEA), using the formula for the SME </w:t>
            </w:r>
            <w:r w:rsidR="00280E56">
              <w:rPr>
                <w:rFonts w:ascii="Arial" w:hAnsi="Arial" w:cs="Arial"/>
                <w:lang w:eastAsia="en-GB"/>
              </w:rPr>
              <w:t>F</w:t>
            </w:r>
            <w:r w:rsidRPr="00BB79FA">
              <w:rPr>
                <w:rFonts w:ascii="Arial" w:hAnsi="Arial" w:cs="Arial"/>
                <w:lang w:eastAsia="en-GB"/>
              </w:rPr>
              <w:t>actor in paragraph 1.6.</w:t>
            </w:r>
          </w:p>
        </w:tc>
      </w:tr>
      <w:tr w:rsidR="00F30280" w:rsidRPr="00BB79FA" w14:paraId="38834F00" w14:textId="77777777" w:rsidTr="0F64D1EA">
        <w:trPr>
          <w:trHeight w:val="276"/>
        </w:trPr>
        <w:tc>
          <w:tcPr>
            <w:tcW w:w="709" w:type="dxa"/>
            <w:noWrap/>
            <w:hideMark/>
          </w:tcPr>
          <w:p w14:paraId="685FE4F3" w14:textId="4B17B7DF" w:rsidR="00F30280" w:rsidRPr="00BB79FA" w:rsidRDefault="00F30280">
            <w:pPr>
              <w:spacing w:after="0" w:line="240" w:lineRule="auto"/>
              <w:rPr>
                <w:rFonts w:ascii="Arial" w:eastAsia="Times New Roman" w:hAnsi="Arial" w:cs="Arial"/>
                <w:kern w:val="0"/>
                <w:lang w:eastAsia="en-GB"/>
                <w14:ligatures w14:val="none"/>
              </w:rPr>
            </w:pPr>
            <w:r w:rsidRPr="00BB79FA">
              <w:rPr>
                <w:rFonts w:ascii="Arial" w:eastAsia="Times New Roman" w:hAnsi="Arial" w:cs="Arial"/>
                <w:kern w:val="0"/>
                <w:lang w:eastAsia="en-GB"/>
                <w14:ligatures w14:val="none"/>
              </w:rPr>
              <w:t>0</w:t>
            </w:r>
            <w:r w:rsidR="00242E12" w:rsidRPr="00BB79FA">
              <w:rPr>
                <w:rFonts w:ascii="Arial" w:eastAsia="Times New Roman" w:hAnsi="Arial" w:cs="Arial"/>
                <w:kern w:val="0"/>
                <w:lang w:eastAsia="en-GB"/>
                <w14:ligatures w14:val="none"/>
              </w:rPr>
              <w:t>4</w:t>
            </w:r>
            <w:r w:rsidRPr="00BB79FA">
              <w:rPr>
                <w:rFonts w:ascii="Arial" w:eastAsia="Times New Roman" w:hAnsi="Arial" w:cs="Arial"/>
                <w:kern w:val="0"/>
                <w:lang w:eastAsia="en-GB"/>
                <w14:ligatures w14:val="none"/>
              </w:rPr>
              <w:t>0</w:t>
            </w:r>
          </w:p>
        </w:tc>
        <w:tc>
          <w:tcPr>
            <w:tcW w:w="7655" w:type="dxa"/>
            <w:hideMark/>
          </w:tcPr>
          <w:p w14:paraId="41DF2887" w14:textId="02391DB8" w:rsidR="00F30280" w:rsidRPr="00BB79FA" w:rsidRDefault="00F30280">
            <w:pPr>
              <w:spacing w:after="0" w:line="240" w:lineRule="auto"/>
              <w:rPr>
                <w:rFonts w:ascii="Arial" w:eastAsia="Times New Roman" w:hAnsi="Arial" w:cs="Arial"/>
                <w:b/>
                <w:bCs/>
                <w:kern w:val="0"/>
                <w:lang w:eastAsia="en-GB"/>
                <w14:ligatures w14:val="none"/>
              </w:rPr>
            </w:pPr>
            <w:r w:rsidRPr="00BB79FA">
              <w:rPr>
                <w:rFonts w:ascii="Arial" w:eastAsia="Times New Roman" w:hAnsi="Arial" w:cs="Arial"/>
                <w:b/>
                <w:bCs/>
                <w:kern w:val="0"/>
                <w:lang w:eastAsia="en-GB"/>
                <w14:ligatures w14:val="none"/>
              </w:rPr>
              <w:t>I</w:t>
            </w:r>
            <w:r w:rsidR="00280E56">
              <w:rPr>
                <w:rFonts w:ascii="Arial" w:eastAsia="Times New Roman" w:hAnsi="Arial" w:cs="Arial"/>
                <w:b/>
                <w:bCs/>
                <w:kern w:val="0"/>
                <w:lang w:eastAsia="en-GB"/>
                <w14:ligatures w14:val="none"/>
              </w:rPr>
              <w:t xml:space="preserve">nfrastructure </w:t>
            </w:r>
            <w:r w:rsidRPr="00BB79FA">
              <w:rPr>
                <w:rFonts w:ascii="Arial" w:eastAsia="Times New Roman" w:hAnsi="Arial" w:cs="Arial"/>
                <w:b/>
                <w:bCs/>
                <w:kern w:val="0"/>
                <w:lang w:eastAsia="en-GB"/>
                <w14:ligatures w14:val="none"/>
              </w:rPr>
              <w:t>F</w:t>
            </w:r>
            <w:r w:rsidR="00280E56">
              <w:rPr>
                <w:rFonts w:ascii="Arial" w:eastAsia="Times New Roman" w:hAnsi="Arial" w:cs="Arial"/>
                <w:b/>
                <w:bCs/>
                <w:kern w:val="0"/>
                <w:lang w:eastAsia="en-GB"/>
                <w14:ligatures w14:val="none"/>
              </w:rPr>
              <w:t>actor</w:t>
            </w:r>
          </w:p>
          <w:p w14:paraId="29228C40" w14:textId="77777777" w:rsidR="00F30280" w:rsidRPr="00BB79FA" w:rsidRDefault="00F30280">
            <w:pPr>
              <w:spacing w:after="0" w:line="240" w:lineRule="auto"/>
              <w:rPr>
                <w:rFonts w:ascii="Arial" w:eastAsia="Times New Roman" w:hAnsi="Arial" w:cs="Arial"/>
                <w:kern w:val="0"/>
                <w:lang w:eastAsia="en-GB"/>
                <w14:ligatures w14:val="none"/>
              </w:rPr>
            </w:pPr>
          </w:p>
          <w:p w14:paraId="2D6B387C" w14:textId="573394D3" w:rsidR="00F30280" w:rsidRPr="00BB79FA" w:rsidRDefault="00F30280">
            <w:pPr>
              <w:spacing w:after="0" w:line="240" w:lineRule="auto"/>
              <w:rPr>
                <w:rFonts w:ascii="Arial" w:eastAsia="Times New Roman" w:hAnsi="Arial" w:cs="Arial"/>
                <w:kern w:val="0"/>
                <w:lang w:eastAsia="en-GB"/>
                <w14:ligatures w14:val="none"/>
              </w:rPr>
            </w:pPr>
            <w:r w:rsidRPr="00BB79FA">
              <w:rPr>
                <w:rFonts w:ascii="Arial" w:eastAsia="Times New Roman" w:hAnsi="Arial" w:cs="Arial"/>
                <w:kern w:val="0"/>
                <w:lang w:eastAsia="en-GB"/>
                <w14:ligatures w14:val="none"/>
              </w:rPr>
              <w:t>Firms do not need to populate this field because the Infrastructure Factor is 0.75 for all eligible exposures</w:t>
            </w:r>
            <w:r w:rsidR="0057366F" w:rsidRPr="00BB79FA">
              <w:rPr>
                <w:rFonts w:ascii="Arial" w:eastAsia="Times New Roman" w:hAnsi="Arial" w:cs="Arial"/>
                <w:kern w:val="0"/>
                <w:lang w:eastAsia="en-GB"/>
                <w14:ligatures w14:val="none"/>
              </w:rPr>
              <w:t xml:space="preserve"> </w:t>
            </w:r>
            <w:r w:rsidRPr="00BB79FA">
              <w:rPr>
                <w:rFonts w:ascii="Arial" w:eastAsia="Times New Roman" w:hAnsi="Arial" w:cs="Arial"/>
                <w:kern w:val="0"/>
                <w:lang w:eastAsia="en-GB"/>
                <w14:ligatures w14:val="none"/>
              </w:rPr>
              <w:t>and is pre-populated where relevant.</w:t>
            </w:r>
          </w:p>
          <w:p w14:paraId="0562C099" w14:textId="77777777" w:rsidR="00F30280" w:rsidRPr="00BB79FA" w:rsidRDefault="00F30280">
            <w:pPr>
              <w:spacing w:after="0" w:line="240" w:lineRule="auto"/>
              <w:rPr>
                <w:rFonts w:ascii="Arial" w:eastAsia="Times New Roman" w:hAnsi="Arial" w:cs="Arial"/>
                <w:kern w:val="0"/>
                <w:lang w:eastAsia="en-GB"/>
                <w14:ligatures w14:val="none"/>
              </w:rPr>
            </w:pPr>
          </w:p>
        </w:tc>
      </w:tr>
      <w:tr w:rsidR="00F30280" w:rsidRPr="00BB79FA" w14:paraId="71C5CD8F" w14:textId="77777777" w:rsidTr="0F64D1EA">
        <w:trPr>
          <w:trHeight w:val="300"/>
        </w:trPr>
        <w:tc>
          <w:tcPr>
            <w:tcW w:w="709" w:type="dxa"/>
            <w:noWrap/>
            <w:hideMark/>
          </w:tcPr>
          <w:p w14:paraId="207A8D4A" w14:textId="77777777" w:rsidR="00F30280" w:rsidRPr="00BB79FA" w:rsidRDefault="00F30280">
            <w:pPr>
              <w:spacing w:after="0" w:line="240" w:lineRule="auto"/>
              <w:rPr>
                <w:rFonts w:ascii="Arial" w:eastAsia="Times New Roman" w:hAnsi="Arial" w:cs="Arial"/>
                <w:kern w:val="0"/>
                <w:lang w:eastAsia="en-GB"/>
                <w14:ligatures w14:val="none"/>
              </w:rPr>
            </w:pPr>
            <w:r w:rsidRPr="00BB79FA">
              <w:rPr>
                <w:rFonts w:ascii="Arial" w:eastAsia="Times New Roman" w:hAnsi="Arial" w:cs="Arial"/>
                <w:kern w:val="0"/>
                <w:lang w:eastAsia="en-GB"/>
                <w14:ligatures w14:val="none"/>
              </w:rPr>
              <w:t>100</w:t>
            </w:r>
          </w:p>
        </w:tc>
        <w:tc>
          <w:tcPr>
            <w:tcW w:w="7655" w:type="dxa"/>
            <w:hideMark/>
          </w:tcPr>
          <w:p w14:paraId="188B2501" w14:textId="77777777" w:rsidR="00F30280" w:rsidRPr="00BB79FA" w:rsidRDefault="00F30280">
            <w:pPr>
              <w:spacing w:after="0" w:line="240" w:lineRule="auto"/>
              <w:rPr>
                <w:rFonts w:ascii="Arial" w:eastAsia="Times New Roman" w:hAnsi="Arial" w:cs="Arial"/>
                <w:b/>
                <w:bCs/>
                <w:kern w:val="0"/>
                <w:lang w:eastAsia="en-GB"/>
                <w14:ligatures w14:val="none"/>
              </w:rPr>
            </w:pPr>
            <w:r w:rsidRPr="00BB79FA">
              <w:rPr>
                <w:rFonts w:ascii="Arial" w:eastAsia="Times New Roman" w:hAnsi="Arial" w:cs="Arial"/>
                <w:b/>
                <w:bCs/>
                <w:kern w:val="0"/>
                <w:lang w:eastAsia="en-GB"/>
                <w14:ligatures w14:val="none"/>
              </w:rPr>
              <w:t>Qualitative information on any comments/assumptions (Optional)</w:t>
            </w:r>
          </w:p>
          <w:p w14:paraId="2D175807" w14:textId="77777777" w:rsidR="00F30280" w:rsidRPr="00BB79FA" w:rsidRDefault="00F30280">
            <w:pPr>
              <w:spacing w:after="0" w:line="240" w:lineRule="auto"/>
              <w:rPr>
                <w:rFonts w:ascii="Arial" w:eastAsia="Times New Roman" w:hAnsi="Arial" w:cs="Arial"/>
                <w:b/>
                <w:bCs/>
                <w:kern w:val="0"/>
                <w:lang w:eastAsia="en-GB"/>
                <w14:ligatures w14:val="none"/>
              </w:rPr>
            </w:pPr>
          </w:p>
          <w:p w14:paraId="7398D503" w14:textId="77777777" w:rsidR="00F30280" w:rsidRPr="00BB79FA" w:rsidRDefault="00F30280">
            <w:pPr>
              <w:spacing w:after="0" w:line="240" w:lineRule="auto"/>
              <w:rPr>
                <w:rFonts w:ascii="Arial" w:eastAsia="Times New Roman" w:hAnsi="Arial" w:cs="Arial"/>
                <w:kern w:val="0"/>
                <w:lang w:eastAsia="en-GB"/>
                <w14:ligatures w14:val="none"/>
              </w:rPr>
            </w:pPr>
            <w:r w:rsidRPr="00BB79FA">
              <w:rPr>
                <w:rFonts w:ascii="Arial" w:eastAsia="Times New Roman" w:hAnsi="Arial" w:cs="Arial"/>
                <w:kern w:val="0"/>
                <w:lang w:eastAsia="en-GB"/>
                <w14:ligatures w14:val="none"/>
              </w:rPr>
              <w:t>Free text field for the optional provision of additional relevant interpretative information relating to data provided in columns 010 and 020.</w:t>
            </w:r>
          </w:p>
          <w:p w14:paraId="4930D770" w14:textId="77777777" w:rsidR="00F30280" w:rsidRPr="00BB79FA" w:rsidRDefault="00F30280">
            <w:pPr>
              <w:spacing w:after="0" w:line="240" w:lineRule="auto"/>
              <w:rPr>
                <w:rFonts w:ascii="Arial" w:eastAsia="Times New Roman" w:hAnsi="Arial" w:cs="Arial"/>
                <w:b/>
                <w:bCs/>
                <w:kern w:val="0"/>
                <w:lang w:eastAsia="en-GB"/>
                <w14:ligatures w14:val="none"/>
              </w:rPr>
            </w:pPr>
          </w:p>
        </w:tc>
      </w:tr>
    </w:tbl>
    <w:p w14:paraId="10F447A8" w14:textId="77777777" w:rsidR="00902EF2" w:rsidRPr="00BB79FA" w:rsidRDefault="00902EF2" w:rsidP="00421539">
      <w:pPr>
        <w:rPr>
          <w:rFonts w:ascii="Arial" w:hAnsi="Arial" w:cs="Arial"/>
        </w:rPr>
      </w:pPr>
    </w:p>
    <w:p w14:paraId="62F6126F" w14:textId="77777777" w:rsidR="00421539" w:rsidRPr="00BB79FA" w:rsidRDefault="00421539" w:rsidP="00A23969">
      <w:pPr>
        <w:pStyle w:val="Heading2"/>
        <w:numPr>
          <w:ilvl w:val="1"/>
          <w:numId w:val="43"/>
        </w:numPr>
        <w:ind w:left="567" w:hanging="567"/>
      </w:pPr>
      <w:r w:rsidRPr="00BB79FA">
        <w:t>Instructions in respect of specific rows</w:t>
      </w:r>
    </w:p>
    <w:tbl>
      <w:tblPr>
        <w:tblW w:w="8364" w:type="dxa"/>
        <w:tblInd w:w="562" w:type="dxa"/>
        <w:tblLook w:val="04A0" w:firstRow="1" w:lastRow="0" w:firstColumn="1" w:lastColumn="0" w:noHBand="0" w:noVBand="1"/>
      </w:tblPr>
      <w:tblGrid>
        <w:gridCol w:w="929"/>
        <w:gridCol w:w="7435"/>
      </w:tblGrid>
      <w:tr w:rsidR="00C66014" w:rsidRPr="00BB79FA" w14:paraId="381846F6" w14:textId="77777777" w:rsidTr="00481F75">
        <w:trPr>
          <w:trHeight w:val="276"/>
        </w:trPr>
        <w:tc>
          <w:tcPr>
            <w:tcW w:w="92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CEB1C90" w14:textId="170FC353" w:rsidR="00C66014" w:rsidRPr="00BB79FA" w:rsidRDefault="00C66014">
            <w:pPr>
              <w:spacing w:after="0" w:line="240" w:lineRule="auto"/>
              <w:rPr>
                <w:rFonts w:ascii="Arial" w:eastAsia="Times New Roman" w:hAnsi="Arial" w:cs="Arial"/>
                <w:color w:val="000000"/>
                <w:kern w:val="0"/>
                <w:lang w:eastAsia="en-GB"/>
                <w14:ligatures w14:val="none"/>
              </w:rPr>
            </w:pPr>
            <w:r w:rsidRPr="00BB79FA">
              <w:rPr>
                <w:rFonts w:ascii="Arial" w:eastAsia="Arial" w:hAnsi="Arial" w:cs="Arial"/>
                <w:color w:val="000000"/>
                <w:kern w:val="0"/>
                <w:lang w:eastAsia="en-GB"/>
                <w14:ligatures w14:val="none"/>
              </w:rPr>
              <w:t>100</w:t>
            </w:r>
          </w:p>
        </w:tc>
        <w:tc>
          <w:tcPr>
            <w:tcW w:w="7435" w:type="dxa"/>
            <w:tcBorders>
              <w:top w:val="single" w:sz="4" w:space="0" w:color="auto"/>
              <w:left w:val="nil"/>
              <w:bottom w:val="single" w:sz="4" w:space="0" w:color="auto"/>
              <w:right w:val="single" w:sz="4" w:space="0" w:color="auto"/>
            </w:tcBorders>
            <w:noWrap/>
            <w:hideMark/>
          </w:tcPr>
          <w:p w14:paraId="52C50E7C" w14:textId="2BBD9061" w:rsidR="00E33E0C" w:rsidRPr="00BB79FA" w:rsidRDefault="00E33E0C" w:rsidP="00E33E0C">
            <w:pPr>
              <w:spacing w:after="0" w:line="240" w:lineRule="auto"/>
              <w:rPr>
                <w:rFonts w:ascii="Arial" w:eastAsia="Arial" w:hAnsi="Arial" w:cs="Arial"/>
                <w:b/>
                <w:color w:val="000000"/>
                <w:kern w:val="0"/>
                <w:u w:val="single"/>
                <w:lang w:eastAsia="en-GB"/>
                <w14:ligatures w14:val="none"/>
              </w:rPr>
            </w:pPr>
            <w:r w:rsidRPr="00BB79FA">
              <w:rPr>
                <w:rFonts w:ascii="Arial" w:eastAsia="Arial" w:hAnsi="Arial" w:cs="Arial"/>
                <w:b/>
                <w:color w:val="000000"/>
                <w:kern w:val="0"/>
                <w:u w:val="single"/>
                <w:lang w:eastAsia="en-GB"/>
                <w14:ligatures w14:val="none"/>
              </w:rPr>
              <w:t>Total risk exposure amount subject to SME F</w:t>
            </w:r>
            <w:r w:rsidR="00280E56">
              <w:rPr>
                <w:rFonts w:ascii="Arial" w:eastAsia="Arial" w:hAnsi="Arial" w:cs="Arial"/>
                <w:b/>
                <w:color w:val="000000"/>
                <w:kern w:val="0"/>
                <w:u w:val="single"/>
                <w:lang w:eastAsia="en-GB"/>
                <w14:ligatures w14:val="none"/>
              </w:rPr>
              <w:t>actor</w:t>
            </w:r>
            <w:r w:rsidR="00B20092" w:rsidRPr="00BB79FA">
              <w:rPr>
                <w:rFonts w:ascii="Arial" w:eastAsia="Arial" w:hAnsi="Arial" w:cs="Arial"/>
                <w:b/>
                <w:color w:val="000000"/>
                <w:kern w:val="0"/>
                <w:u w:val="single"/>
                <w:lang w:eastAsia="en-GB"/>
                <w14:ligatures w14:val="none"/>
              </w:rPr>
              <w:t xml:space="preserve"> and I</w:t>
            </w:r>
            <w:r w:rsidR="00280E56">
              <w:rPr>
                <w:rFonts w:ascii="Arial" w:eastAsia="Arial" w:hAnsi="Arial" w:cs="Arial"/>
                <w:b/>
                <w:color w:val="000000"/>
                <w:kern w:val="0"/>
                <w:u w:val="single"/>
                <w:lang w:eastAsia="en-GB"/>
                <w14:ligatures w14:val="none"/>
              </w:rPr>
              <w:t xml:space="preserve">nfrastructure </w:t>
            </w:r>
            <w:r w:rsidR="00B20092" w:rsidRPr="00BB79FA">
              <w:rPr>
                <w:rFonts w:ascii="Arial" w:eastAsia="Arial" w:hAnsi="Arial" w:cs="Arial"/>
                <w:b/>
                <w:color w:val="000000"/>
                <w:kern w:val="0"/>
                <w:u w:val="single"/>
                <w:lang w:eastAsia="en-GB"/>
                <w14:ligatures w14:val="none"/>
              </w:rPr>
              <w:t>F</w:t>
            </w:r>
            <w:r w:rsidR="00280E56">
              <w:rPr>
                <w:rFonts w:ascii="Arial" w:eastAsia="Arial" w:hAnsi="Arial" w:cs="Arial"/>
                <w:b/>
                <w:color w:val="000000"/>
                <w:kern w:val="0"/>
                <w:u w:val="single"/>
                <w:lang w:eastAsia="en-GB"/>
                <w14:ligatures w14:val="none"/>
              </w:rPr>
              <w:t>actor</w:t>
            </w:r>
          </w:p>
          <w:p w14:paraId="6CC981E3" w14:textId="77777777" w:rsidR="00E33E0C" w:rsidRPr="00BB79FA" w:rsidRDefault="00E33E0C" w:rsidP="00E33E0C">
            <w:pPr>
              <w:spacing w:after="0" w:line="240" w:lineRule="auto"/>
              <w:rPr>
                <w:rFonts w:ascii="Arial" w:eastAsia="Arial" w:hAnsi="Arial" w:cs="Arial"/>
                <w:b/>
                <w:color w:val="000000"/>
                <w:kern w:val="0"/>
                <w:lang w:eastAsia="en-GB"/>
                <w14:ligatures w14:val="none"/>
              </w:rPr>
            </w:pPr>
          </w:p>
          <w:p w14:paraId="226D2DB2" w14:textId="1D9E5F32" w:rsidR="00B20092" w:rsidRPr="00BB79FA" w:rsidRDefault="00E33E0C" w:rsidP="00E33E0C">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Sub-total of row 110</w:t>
            </w:r>
            <w:r w:rsidR="001D6515">
              <w:rPr>
                <w:rFonts w:ascii="Arial" w:eastAsia="Arial" w:hAnsi="Arial" w:cs="Arial"/>
                <w:i/>
                <w:color w:val="000000" w:themeColor="text1"/>
                <w:lang w:eastAsia="en-GB"/>
              </w:rPr>
              <w:t>.</w:t>
            </w:r>
            <w:r w:rsidRPr="00BB79FA">
              <w:rPr>
                <w:rFonts w:ascii="Arial" w:eastAsia="Arial" w:hAnsi="Arial" w:cs="Arial"/>
                <w:i/>
                <w:color w:val="000000" w:themeColor="text1"/>
                <w:lang w:eastAsia="en-GB"/>
              </w:rPr>
              <w:t xml:space="preserve"> </w:t>
            </w:r>
          </w:p>
          <w:p w14:paraId="12419C64" w14:textId="77777777" w:rsidR="00B20092" w:rsidRPr="00BB79FA" w:rsidRDefault="00B20092" w:rsidP="00E33E0C">
            <w:pPr>
              <w:spacing w:after="0" w:line="240" w:lineRule="auto"/>
              <w:rPr>
                <w:rFonts w:ascii="Arial" w:eastAsia="Arial" w:hAnsi="Arial" w:cs="Arial"/>
                <w:i/>
                <w:color w:val="000000" w:themeColor="text1"/>
                <w:lang w:eastAsia="en-GB"/>
              </w:rPr>
            </w:pPr>
          </w:p>
          <w:p w14:paraId="0988CF50" w14:textId="5989B069" w:rsidR="00E33E0C" w:rsidRPr="00BB79FA" w:rsidRDefault="00E33E0C" w:rsidP="00E33E0C">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This row will be calculated by a formula, firms do not need to report here.</w:t>
            </w:r>
          </w:p>
          <w:p w14:paraId="44597CDF" w14:textId="77777777" w:rsidR="00C66014" w:rsidRPr="00BB79FA" w:rsidRDefault="00C66014">
            <w:pPr>
              <w:spacing w:after="0" w:line="240" w:lineRule="auto"/>
              <w:rPr>
                <w:rFonts w:ascii="Arial" w:eastAsia="Times New Roman" w:hAnsi="Arial" w:cs="Arial"/>
                <w:b/>
                <w:bCs/>
                <w:color w:val="000000"/>
                <w:kern w:val="0"/>
                <w:lang w:eastAsia="en-GB"/>
                <w14:ligatures w14:val="none"/>
              </w:rPr>
            </w:pPr>
          </w:p>
        </w:tc>
      </w:tr>
      <w:tr w:rsidR="00C66014" w:rsidRPr="00BB79FA" w14:paraId="217592B4" w14:textId="77777777" w:rsidTr="00481F75">
        <w:trPr>
          <w:trHeight w:val="276"/>
        </w:trPr>
        <w:tc>
          <w:tcPr>
            <w:tcW w:w="929" w:type="dxa"/>
            <w:tcBorders>
              <w:top w:val="nil"/>
              <w:left w:val="single" w:sz="4" w:space="0" w:color="auto"/>
              <w:bottom w:val="single" w:sz="4" w:space="0" w:color="auto"/>
              <w:right w:val="single" w:sz="4" w:space="0" w:color="auto"/>
            </w:tcBorders>
            <w:shd w:val="clear" w:color="auto" w:fill="FFFFFF" w:themeFill="background1"/>
            <w:noWrap/>
            <w:hideMark/>
          </w:tcPr>
          <w:p w14:paraId="16671DF1" w14:textId="0D2063AB" w:rsidR="00C66014" w:rsidRPr="00BB79FA" w:rsidRDefault="00C66014">
            <w:pPr>
              <w:spacing w:after="0" w:line="240" w:lineRule="auto"/>
              <w:ind w:right="-52"/>
              <w:rPr>
                <w:rFonts w:ascii="Arial" w:eastAsia="Times New Roman" w:hAnsi="Arial" w:cs="Arial"/>
                <w:color w:val="000000"/>
                <w:kern w:val="0"/>
                <w:lang w:eastAsia="en-GB"/>
                <w14:ligatures w14:val="none"/>
              </w:rPr>
            </w:pPr>
            <w:r w:rsidRPr="00BB79FA">
              <w:rPr>
                <w:rFonts w:ascii="Arial" w:eastAsia="Arial" w:hAnsi="Arial" w:cs="Arial"/>
                <w:color w:val="000000"/>
                <w:kern w:val="0"/>
                <w:lang w:eastAsia="en-GB"/>
                <w14:ligatures w14:val="none"/>
              </w:rPr>
              <w:lastRenderedPageBreak/>
              <w:t>110</w:t>
            </w:r>
          </w:p>
        </w:tc>
        <w:tc>
          <w:tcPr>
            <w:tcW w:w="7435" w:type="dxa"/>
            <w:tcBorders>
              <w:top w:val="nil"/>
              <w:left w:val="nil"/>
              <w:bottom w:val="single" w:sz="4" w:space="0" w:color="auto"/>
              <w:right w:val="single" w:sz="4" w:space="0" w:color="auto"/>
            </w:tcBorders>
            <w:noWrap/>
            <w:hideMark/>
          </w:tcPr>
          <w:p w14:paraId="2E9C4E0C" w14:textId="77777777" w:rsidR="00C66014" w:rsidRPr="00BB79FA" w:rsidRDefault="00C66014">
            <w:pPr>
              <w:spacing w:after="0" w:line="240" w:lineRule="auto"/>
              <w:rPr>
                <w:rFonts w:ascii="Arial" w:eastAsia="Arial" w:hAnsi="Arial" w:cs="Arial"/>
                <w:b/>
                <w:i/>
                <w:color w:val="000000" w:themeColor="text1"/>
                <w:u w:val="single"/>
                <w:lang w:eastAsia="en-GB"/>
              </w:rPr>
            </w:pPr>
            <w:r w:rsidRPr="00BB79FA">
              <w:rPr>
                <w:rFonts w:ascii="Arial" w:eastAsia="Arial" w:hAnsi="Arial" w:cs="Arial"/>
                <w:b/>
                <w:i/>
                <w:color w:val="000000"/>
                <w:kern w:val="0"/>
                <w:u w:val="single"/>
                <w:lang w:eastAsia="en-GB"/>
                <w14:ligatures w14:val="none"/>
              </w:rPr>
              <w:t>of which: under the standardised approach (SA)</w:t>
            </w:r>
          </w:p>
          <w:p w14:paraId="3D6ADB4E" w14:textId="77777777" w:rsidR="00C66014" w:rsidRPr="00BB79FA" w:rsidRDefault="00C66014">
            <w:pPr>
              <w:spacing w:after="0" w:line="240" w:lineRule="auto"/>
              <w:rPr>
                <w:rFonts w:ascii="Arial" w:eastAsia="Arial" w:hAnsi="Arial" w:cs="Arial"/>
                <w:b/>
                <w:i/>
                <w:color w:val="000000" w:themeColor="text1"/>
                <w:lang w:eastAsia="en-GB"/>
              </w:rPr>
            </w:pPr>
          </w:p>
          <w:p w14:paraId="476C1AF9" w14:textId="33712D24" w:rsidR="00C66014" w:rsidRPr="00BB79FA" w:rsidRDefault="00C66014">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Sub-total row of the following rows: 130; 2</w:t>
            </w:r>
            <w:r w:rsidR="004F4129" w:rsidRPr="00BB79FA">
              <w:rPr>
                <w:rFonts w:ascii="Arial" w:eastAsia="Arial" w:hAnsi="Arial" w:cs="Arial"/>
                <w:i/>
                <w:color w:val="000000" w:themeColor="text1"/>
                <w:lang w:eastAsia="en-GB"/>
              </w:rPr>
              <w:t>5</w:t>
            </w:r>
            <w:r w:rsidRPr="00BB79FA">
              <w:rPr>
                <w:rFonts w:ascii="Arial" w:eastAsia="Arial" w:hAnsi="Arial" w:cs="Arial"/>
                <w:i/>
                <w:color w:val="000000" w:themeColor="text1"/>
                <w:lang w:eastAsia="en-GB"/>
              </w:rPr>
              <w:t>0; 260;</w:t>
            </w:r>
            <w:r w:rsidR="004F4129" w:rsidRPr="00BB79FA">
              <w:rPr>
                <w:rFonts w:ascii="Arial" w:eastAsia="Arial" w:hAnsi="Arial" w:cs="Arial"/>
                <w:i/>
                <w:color w:val="000000" w:themeColor="text1"/>
                <w:lang w:eastAsia="en-GB"/>
              </w:rPr>
              <w:t xml:space="preserve"> and</w:t>
            </w:r>
            <w:r w:rsidRPr="00BB79FA">
              <w:rPr>
                <w:rFonts w:ascii="Arial" w:eastAsia="Arial" w:hAnsi="Arial" w:cs="Arial"/>
                <w:i/>
                <w:color w:val="000000" w:themeColor="text1"/>
                <w:lang w:eastAsia="en-GB"/>
              </w:rPr>
              <w:t xml:space="preserve"> 270</w:t>
            </w:r>
            <w:r w:rsidR="004F4129" w:rsidRPr="00BB79FA">
              <w:rPr>
                <w:rFonts w:ascii="Arial" w:eastAsia="Arial" w:hAnsi="Arial" w:cs="Arial"/>
                <w:i/>
                <w:color w:val="000000" w:themeColor="text1"/>
                <w:lang w:eastAsia="en-GB"/>
              </w:rPr>
              <w:t>.</w:t>
            </w:r>
          </w:p>
          <w:p w14:paraId="1953A1EB" w14:textId="77777777" w:rsidR="00C66014" w:rsidRPr="00BB79FA" w:rsidRDefault="00C66014">
            <w:pPr>
              <w:spacing w:after="0" w:line="240" w:lineRule="auto"/>
              <w:rPr>
                <w:rFonts w:ascii="Arial" w:eastAsia="Arial" w:hAnsi="Arial" w:cs="Arial"/>
                <w:i/>
                <w:color w:val="000000" w:themeColor="text1"/>
                <w:lang w:eastAsia="en-GB"/>
              </w:rPr>
            </w:pPr>
          </w:p>
          <w:p w14:paraId="38777795" w14:textId="77777777" w:rsidR="00E33E0C" w:rsidRPr="00BB79FA" w:rsidRDefault="00E33E0C" w:rsidP="00E33E0C">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This row will be calculated by a formula, firms do not need to report here.</w:t>
            </w:r>
          </w:p>
          <w:p w14:paraId="242E5B69" w14:textId="77777777" w:rsidR="00C66014" w:rsidRPr="00BB79FA" w:rsidRDefault="00C66014">
            <w:pPr>
              <w:spacing w:after="0" w:line="240" w:lineRule="auto"/>
              <w:rPr>
                <w:rFonts w:ascii="Arial" w:eastAsia="Times New Roman" w:hAnsi="Arial" w:cs="Arial"/>
                <w:i/>
                <w:color w:val="000000"/>
                <w:kern w:val="0"/>
                <w:lang w:eastAsia="en-GB"/>
                <w14:ligatures w14:val="none"/>
              </w:rPr>
            </w:pPr>
          </w:p>
        </w:tc>
      </w:tr>
      <w:tr w:rsidR="00C66014" w:rsidRPr="00BB79FA" w14:paraId="38F83DDB" w14:textId="77777777" w:rsidTr="00864AD1">
        <w:trPr>
          <w:trHeight w:val="77"/>
        </w:trPr>
        <w:tc>
          <w:tcPr>
            <w:tcW w:w="929" w:type="dxa"/>
            <w:tcBorders>
              <w:top w:val="nil"/>
              <w:left w:val="single" w:sz="4" w:space="0" w:color="auto"/>
              <w:bottom w:val="single" w:sz="4" w:space="0" w:color="auto"/>
              <w:right w:val="single" w:sz="4" w:space="0" w:color="auto"/>
            </w:tcBorders>
            <w:shd w:val="clear" w:color="auto" w:fill="FFFFFF" w:themeFill="background1"/>
            <w:noWrap/>
            <w:hideMark/>
          </w:tcPr>
          <w:p w14:paraId="3689C8C6" w14:textId="2ED4B9A6" w:rsidR="00C66014" w:rsidRPr="00BB79FA" w:rsidRDefault="00C66014">
            <w:pPr>
              <w:spacing w:after="0" w:line="240" w:lineRule="auto"/>
              <w:rPr>
                <w:rFonts w:ascii="Arial" w:eastAsia="Times New Roman" w:hAnsi="Arial" w:cs="Arial"/>
                <w:color w:val="000000"/>
                <w:kern w:val="0"/>
                <w:lang w:eastAsia="en-GB"/>
                <w14:ligatures w14:val="none"/>
              </w:rPr>
            </w:pPr>
            <w:r w:rsidRPr="00BB79FA">
              <w:rPr>
                <w:rFonts w:ascii="Arial" w:eastAsia="Times New Roman" w:hAnsi="Arial" w:cs="Arial"/>
                <w:color w:val="000000"/>
                <w:kern w:val="0"/>
                <w:lang w:eastAsia="en-GB"/>
                <w14:ligatures w14:val="none"/>
              </w:rPr>
              <w:t>120</w:t>
            </w:r>
            <w:r w:rsidR="00864AD1" w:rsidRPr="00BB79FA">
              <w:rPr>
                <w:rFonts w:ascii="Arial" w:eastAsia="Times New Roman" w:hAnsi="Arial" w:cs="Arial"/>
                <w:color w:val="000000"/>
                <w:kern w:val="0"/>
                <w:lang w:eastAsia="en-GB"/>
                <w14:ligatures w14:val="none"/>
              </w:rPr>
              <w:t xml:space="preserve"> - 122</w:t>
            </w:r>
          </w:p>
        </w:tc>
        <w:tc>
          <w:tcPr>
            <w:tcW w:w="7435" w:type="dxa"/>
            <w:tcBorders>
              <w:top w:val="nil"/>
              <w:left w:val="nil"/>
              <w:bottom w:val="single" w:sz="4" w:space="0" w:color="auto"/>
              <w:right w:val="single" w:sz="4" w:space="0" w:color="auto"/>
            </w:tcBorders>
            <w:shd w:val="clear" w:color="auto" w:fill="FFFFFF" w:themeFill="background1"/>
            <w:noWrap/>
          </w:tcPr>
          <w:p w14:paraId="7759F455" w14:textId="77777777" w:rsidR="00864AD1" w:rsidRPr="00BB79FA" w:rsidRDefault="00864AD1" w:rsidP="00864AD1">
            <w:pPr>
              <w:spacing w:after="0" w:line="240" w:lineRule="auto"/>
              <w:rPr>
                <w:rFonts w:ascii="Arial" w:eastAsia="Arial" w:hAnsi="Arial" w:cs="Arial"/>
                <w:i/>
                <w:color w:val="000000" w:themeColor="text1"/>
                <w:lang w:eastAsia="en-GB"/>
              </w:rPr>
            </w:pPr>
          </w:p>
          <w:p w14:paraId="572CFEF8" w14:textId="711DAE71" w:rsidR="00864AD1" w:rsidRPr="00BB79FA" w:rsidRDefault="00864AD1" w:rsidP="00864AD1">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 xml:space="preserve">Do not complete these rows for </w:t>
            </w:r>
            <w:r w:rsidR="009D4BA0" w:rsidRPr="00BB79FA">
              <w:rPr>
                <w:rFonts w:ascii="Arial" w:eastAsia="Arial" w:hAnsi="Arial" w:cs="Arial"/>
                <w:i/>
                <w:color w:val="000000" w:themeColor="text1"/>
                <w:lang w:eastAsia="en-GB"/>
              </w:rPr>
              <w:t>Submission 2</w:t>
            </w:r>
            <w:r w:rsidR="006822BF" w:rsidRPr="00BB79FA">
              <w:rPr>
                <w:rFonts w:ascii="Arial" w:eastAsia="Arial" w:hAnsi="Arial" w:cs="Arial"/>
                <w:i/>
                <w:color w:val="000000" w:themeColor="text1"/>
                <w:lang w:eastAsia="en-GB"/>
              </w:rPr>
              <w:t>c</w:t>
            </w:r>
            <w:r w:rsidRPr="00BB79FA">
              <w:rPr>
                <w:rFonts w:ascii="Arial" w:eastAsia="Arial" w:hAnsi="Arial" w:cs="Arial"/>
                <w:i/>
                <w:color w:val="000000" w:themeColor="text1"/>
                <w:lang w:eastAsia="en-GB"/>
              </w:rPr>
              <w:t>.</w:t>
            </w:r>
          </w:p>
          <w:p w14:paraId="40D4A62F" w14:textId="77777777" w:rsidR="00C66014" w:rsidRPr="00BB79FA" w:rsidRDefault="00C66014">
            <w:pPr>
              <w:spacing w:after="0" w:line="240" w:lineRule="auto"/>
              <w:rPr>
                <w:rFonts w:ascii="Arial" w:eastAsia="Times New Roman" w:hAnsi="Arial" w:cs="Arial"/>
                <w:i/>
                <w:color w:val="000000"/>
                <w:kern w:val="0"/>
                <w:lang w:eastAsia="en-GB"/>
                <w14:ligatures w14:val="none"/>
              </w:rPr>
            </w:pPr>
          </w:p>
        </w:tc>
      </w:tr>
      <w:tr w:rsidR="00C66014" w:rsidRPr="00BB79FA" w14:paraId="614433AB" w14:textId="77777777" w:rsidTr="00481F75">
        <w:trPr>
          <w:trHeight w:val="276"/>
        </w:trPr>
        <w:tc>
          <w:tcPr>
            <w:tcW w:w="929" w:type="dxa"/>
            <w:tcBorders>
              <w:top w:val="nil"/>
              <w:left w:val="single" w:sz="4" w:space="0" w:color="auto"/>
              <w:bottom w:val="single" w:sz="4" w:space="0" w:color="auto"/>
              <w:right w:val="single" w:sz="4" w:space="0" w:color="auto"/>
            </w:tcBorders>
            <w:shd w:val="clear" w:color="auto" w:fill="FFFFFF" w:themeFill="background1"/>
            <w:noWrap/>
            <w:hideMark/>
          </w:tcPr>
          <w:p w14:paraId="0D4028DE" w14:textId="77777777" w:rsidR="00C66014" w:rsidRPr="00BB79FA" w:rsidRDefault="00C66014">
            <w:pPr>
              <w:spacing w:after="0" w:line="240" w:lineRule="auto"/>
              <w:rPr>
                <w:rFonts w:ascii="Arial" w:eastAsia="Times New Roman" w:hAnsi="Arial" w:cs="Arial"/>
                <w:color w:val="000000"/>
                <w:kern w:val="0"/>
                <w:lang w:eastAsia="en-GB"/>
                <w14:ligatures w14:val="none"/>
              </w:rPr>
            </w:pPr>
            <w:r w:rsidRPr="00BB79FA">
              <w:rPr>
                <w:rFonts w:ascii="Arial" w:eastAsia="Times New Roman" w:hAnsi="Arial" w:cs="Arial"/>
                <w:color w:val="000000"/>
                <w:kern w:val="0"/>
                <w:lang w:eastAsia="en-GB"/>
                <w14:ligatures w14:val="none"/>
              </w:rPr>
              <w:t>130</w:t>
            </w:r>
          </w:p>
        </w:tc>
        <w:tc>
          <w:tcPr>
            <w:tcW w:w="7435" w:type="dxa"/>
            <w:tcBorders>
              <w:top w:val="nil"/>
              <w:left w:val="nil"/>
              <w:bottom w:val="single" w:sz="4" w:space="0" w:color="auto"/>
              <w:right w:val="single" w:sz="4" w:space="0" w:color="auto"/>
            </w:tcBorders>
            <w:shd w:val="clear" w:color="auto" w:fill="FFFFFF" w:themeFill="background1"/>
            <w:noWrap/>
            <w:hideMark/>
          </w:tcPr>
          <w:p w14:paraId="716C7ED9" w14:textId="77777777" w:rsidR="00C66014" w:rsidRPr="00BB79FA" w:rsidRDefault="00C66014">
            <w:pPr>
              <w:spacing w:after="0" w:line="240" w:lineRule="auto"/>
              <w:rPr>
                <w:rFonts w:ascii="Arial" w:eastAsia="Times New Roman" w:hAnsi="Arial" w:cs="Arial"/>
                <w:b/>
                <w:i/>
                <w:color w:val="000000" w:themeColor="text1"/>
                <w:u w:val="single"/>
                <w:lang w:eastAsia="en-GB"/>
              </w:rPr>
            </w:pPr>
            <w:r w:rsidRPr="00BB79FA">
              <w:rPr>
                <w:rFonts w:ascii="Arial" w:eastAsia="Times New Roman" w:hAnsi="Arial" w:cs="Arial"/>
                <w:b/>
                <w:i/>
                <w:color w:val="000000"/>
                <w:kern w:val="0"/>
                <w:u w:val="single"/>
                <w:lang w:eastAsia="en-GB"/>
                <w14:ligatures w14:val="none"/>
              </w:rPr>
              <w:t xml:space="preserve">   of which: corporate exposures – SMEs</w:t>
            </w:r>
          </w:p>
          <w:p w14:paraId="6A4B3F7E" w14:textId="77777777" w:rsidR="00C66014" w:rsidRPr="00BB79FA" w:rsidRDefault="00C66014">
            <w:pPr>
              <w:spacing w:after="0" w:line="240" w:lineRule="auto"/>
              <w:rPr>
                <w:rFonts w:ascii="Arial" w:eastAsia="Times New Roman" w:hAnsi="Arial" w:cs="Arial"/>
                <w:b/>
                <w:bCs/>
                <w:i/>
                <w:iCs/>
                <w:color w:val="000000" w:themeColor="text1"/>
                <w:lang w:eastAsia="en-GB"/>
              </w:rPr>
            </w:pPr>
          </w:p>
          <w:p w14:paraId="63CFBDEE" w14:textId="77777777" w:rsidR="00C66014" w:rsidRPr="00BB79FA" w:rsidRDefault="00C66014">
            <w:pPr>
              <w:spacing w:after="0" w:line="240" w:lineRule="auto"/>
              <w:rPr>
                <w:rFonts w:ascii="Arial" w:eastAsia="Times New Roman" w:hAnsi="Arial" w:cs="Arial"/>
                <w:i/>
                <w:iCs/>
                <w:color w:val="000000" w:themeColor="text1"/>
                <w:lang w:eastAsia="en-GB"/>
              </w:rPr>
            </w:pPr>
            <w:r w:rsidRPr="00BB79FA">
              <w:rPr>
                <w:rFonts w:ascii="Arial" w:eastAsia="Times New Roman" w:hAnsi="Arial" w:cs="Arial"/>
                <w:i/>
                <w:iCs/>
                <w:color w:val="000000" w:themeColor="text1"/>
                <w:lang w:eastAsia="en-GB"/>
              </w:rPr>
              <w:t>Sub-total row of following rows: 131; 132; 133; 134; 135; and 136.</w:t>
            </w:r>
          </w:p>
          <w:p w14:paraId="33B648A6" w14:textId="77777777" w:rsidR="00C66014" w:rsidRPr="00BB79FA" w:rsidRDefault="00C66014">
            <w:pPr>
              <w:spacing w:after="0" w:line="240" w:lineRule="auto"/>
              <w:rPr>
                <w:rFonts w:ascii="Arial" w:eastAsia="Times New Roman" w:hAnsi="Arial" w:cs="Arial"/>
                <w:b/>
                <w:bCs/>
                <w:i/>
                <w:iCs/>
                <w:color w:val="000000" w:themeColor="text1"/>
                <w:lang w:eastAsia="en-GB"/>
              </w:rPr>
            </w:pPr>
          </w:p>
          <w:p w14:paraId="2309BDEE" w14:textId="77777777" w:rsidR="00F96FA5" w:rsidRPr="00BB79FA" w:rsidRDefault="00F96FA5" w:rsidP="00F96FA5">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This row will be calculated by a formula, firms do not need to report here.</w:t>
            </w:r>
          </w:p>
          <w:p w14:paraId="13E20771" w14:textId="77777777" w:rsidR="00C66014" w:rsidRPr="00BB79FA" w:rsidRDefault="00C66014">
            <w:pPr>
              <w:spacing w:after="0" w:line="240" w:lineRule="auto"/>
              <w:rPr>
                <w:rFonts w:ascii="Arial" w:eastAsia="Times New Roman" w:hAnsi="Arial" w:cs="Arial"/>
                <w:b/>
                <w:bCs/>
                <w:i/>
                <w:iCs/>
                <w:color w:val="000000"/>
                <w:kern w:val="0"/>
                <w:lang w:eastAsia="en-GB"/>
                <w14:ligatures w14:val="none"/>
              </w:rPr>
            </w:pPr>
          </w:p>
        </w:tc>
      </w:tr>
      <w:tr w:rsidR="00C66014" w:rsidRPr="00BB79FA" w14:paraId="4D512B4E" w14:textId="77777777" w:rsidTr="00481F75">
        <w:trPr>
          <w:trHeight w:val="300"/>
        </w:trPr>
        <w:tc>
          <w:tcPr>
            <w:tcW w:w="929" w:type="dxa"/>
            <w:tcBorders>
              <w:top w:val="nil"/>
              <w:left w:val="single" w:sz="4" w:space="0" w:color="auto"/>
              <w:bottom w:val="single" w:sz="4" w:space="0" w:color="auto"/>
              <w:right w:val="single" w:sz="4" w:space="0" w:color="auto"/>
            </w:tcBorders>
            <w:shd w:val="clear" w:color="auto" w:fill="FFFFFF" w:themeFill="background1"/>
            <w:noWrap/>
            <w:hideMark/>
          </w:tcPr>
          <w:p w14:paraId="107F1B1D" w14:textId="77777777" w:rsidR="00C66014" w:rsidRPr="00BB79FA" w:rsidRDefault="00C66014">
            <w:pPr>
              <w:spacing w:after="0" w:line="240" w:lineRule="auto"/>
              <w:rPr>
                <w:rFonts w:ascii="Arial" w:eastAsia="Times New Roman" w:hAnsi="Arial" w:cs="Arial"/>
                <w:color w:val="000000"/>
                <w:kern w:val="0"/>
                <w:lang w:eastAsia="en-GB"/>
                <w14:ligatures w14:val="none"/>
              </w:rPr>
            </w:pPr>
            <w:r w:rsidRPr="00BB79FA">
              <w:rPr>
                <w:rFonts w:ascii="Arial" w:eastAsia="Times New Roman" w:hAnsi="Arial" w:cs="Arial"/>
                <w:color w:val="000000"/>
                <w:kern w:val="0"/>
                <w:lang w:eastAsia="en-GB"/>
                <w14:ligatures w14:val="none"/>
              </w:rPr>
              <w:t>131</w:t>
            </w:r>
          </w:p>
        </w:tc>
        <w:tc>
          <w:tcPr>
            <w:tcW w:w="7435" w:type="dxa"/>
            <w:tcBorders>
              <w:top w:val="nil"/>
              <w:left w:val="nil"/>
              <w:bottom w:val="single" w:sz="4" w:space="0" w:color="auto"/>
              <w:right w:val="single" w:sz="4" w:space="0" w:color="auto"/>
            </w:tcBorders>
            <w:shd w:val="clear" w:color="auto" w:fill="FFFFFF" w:themeFill="background1"/>
            <w:noWrap/>
            <w:hideMark/>
          </w:tcPr>
          <w:p w14:paraId="773FE1E7" w14:textId="77777777" w:rsidR="00C66014" w:rsidRPr="00BB79FA" w:rsidRDefault="00C66014">
            <w:pPr>
              <w:spacing w:after="0" w:line="240" w:lineRule="auto"/>
              <w:rPr>
                <w:rFonts w:ascii="Arial" w:eastAsia="Times New Roman" w:hAnsi="Arial" w:cs="Arial"/>
                <w:i/>
                <w:iCs/>
                <w:color w:val="000000" w:themeColor="text1"/>
                <w:lang w:eastAsia="en-GB"/>
              </w:rPr>
            </w:pPr>
            <w:r w:rsidRPr="00BB79FA">
              <w:rPr>
                <w:rFonts w:ascii="Arial" w:eastAsia="Times New Roman" w:hAnsi="Arial" w:cs="Arial"/>
                <w:i/>
                <w:iCs/>
                <w:color w:val="000000"/>
                <w:kern w:val="0"/>
                <w:lang w:eastAsia="en-GB"/>
                <w14:ligatures w14:val="none"/>
              </w:rPr>
              <w:t xml:space="preserve"> </w:t>
            </w:r>
            <w:r w:rsidRPr="00BB79FA">
              <w:rPr>
                <w:rFonts w:ascii="Arial" w:eastAsia="Times New Roman" w:hAnsi="Arial" w:cs="Arial"/>
                <w:i/>
                <w:color w:val="000000"/>
                <w:kern w:val="0"/>
                <w:u w:val="single"/>
                <w:lang w:eastAsia="en-GB"/>
                <w14:ligatures w14:val="none"/>
              </w:rPr>
              <w:t xml:space="preserve">     of which: assigned a RW of 20% </w:t>
            </w:r>
          </w:p>
          <w:p w14:paraId="68CA47DD" w14:textId="77777777" w:rsidR="00C66014" w:rsidRPr="00BB79FA" w:rsidRDefault="00C66014">
            <w:pPr>
              <w:spacing w:after="0" w:line="240" w:lineRule="auto"/>
              <w:rPr>
                <w:rFonts w:ascii="Arial" w:eastAsia="Times New Roman" w:hAnsi="Arial" w:cs="Arial"/>
                <w:i/>
                <w:iCs/>
                <w:color w:val="000000" w:themeColor="text1"/>
                <w:lang w:eastAsia="en-GB"/>
              </w:rPr>
            </w:pPr>
          </w:p>
          <w:p w14:paraId="4574E25E" w14:textId="229727EA" w:rsidR="00F96FA5" w:rsidRPr="00BB79FA" w:rsidRDefault="00F96FA5" w:rsidP="00F96FA5">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Only exposures</w:t>
            </w:r>
            <w:r w:rsidR="00C76F4E" w:rsidRPr="00BB79FA">
              <w:rPr>
                <w:rFonts w:ascii="Arial" w:eastAsia="Arial" w:hAnsi="Arial" w:cs="Arial"/>
                <w:i/>
                <w:color w:val="000000" w:themeColor="text1"/>
                <w:lang w:eastAsia="en-GB"/>
              </w:rPr>
              <w:t xml:space="preserve"> to SMEs</w:t>
            </w:r>
            <w:r w:rsidRPr="00BB79FA">
              <w:rPr>
                <w:rFonts w:ascii="Arial" w:eastAsia="Arial" w:hAnsi="Arial" w:cs="Arial"/>
                <w:i/>
                <w:color w:val="000000" w:themeColor="text1"/>
                <w:lang w:eastAsia="en-GB"/>
              </w:rPr>
              <w:t xml:space="preserve"> that are assigned a risk weight of 20% in Table 6 or 6A under Article 122 of the Credit Risk: Standardised Approach (CRR) Part shall be reported here.  </w:t>
            </w:r>
          </w:p>
          <w:p w14:paraId="1CB455ED" w14:textId="77777777" w:rsidR="00C66014" w:rsidRPr="00BB79FA" w:rsidRDefault="00C66014">
            <w:pPr>
              <w:spacing w:after="0" w:line="240" w:lineRule="auto"/>
              <w:rPr>
                <w:rFonts w:ascii="Arial" w:eastAsia="Times New Roman" w:hAnsi="Arial" w:cs="Arial"/>
                <w:i/>
                <w:iCs/>
                <w:color w:val="000000"/>
                <w:kern w:val="0"/>
                <w:lang w:eastAsia="en-GB"/>
                <w14:ligatures w14:val="none"/>
              </w:rPr>
            </w:pPr>
          </w:p>
        </w:tc>
      </w:tr>
      <w:tr w:rsidR="00C66014" w:rsidRPr="00BB79FA" w14:paraId="2A42FB0D" w14:textId="77777777" w:rsidTr="00481F75">
        <w:trPr>
          <w:trHeight w:val="300"/>
        </w:trPr>
        <w:tc>
          <w:tcPr>
            <w:tcW w:w="929" w:type="dxa"/>
            <w:tcBorders>
              <w:top w:val="nil"/>
              <w:left w:val="single" w:sz="4" w:space="0" w:color="auto"/>
              <w:bottom w:val="single" w:sz="4" w:space="0" w:color="auto"/>
              <w:right w:val="single" w:sz="4" w:space="0" w:color="auto"/>
            </w:tcBorders>
            <w:shd w:val="clear" w:color="auto" w:fill="FFFFFF" w:themeFill="background1"/>
            <w:noWrap/>
            <w:hideMark/>
          </w:tcPr>
          <w:p w14:paraId="3DF730BE" w14:textId="77777777" w:rsidR="00C66014" w:rsidRPr="00BB79FA" w:rsidRDefault="00C66014">
            <w:pPr>
              <w:spacing w:after="0" w:line="240" w:lineRule="auto"/>
              <w:rPr>
                <w:rFonts w:ascii="Arial" w:eastAsia="Times New Roman" w:hAnsi="Arial" w:cs="Arial"/>
                <w:color w:val="000000"/>
                <w:kern w:val="0"/>
                <w:lang w:eastAsia="en-GB"/>
                <w14:ligatures w14:val="none"/>
              </w:rPr>
            </w:pPr>
            <w:r w:rsidRPr="00BB79FA">
              <w:rPr>
                <w:rFonts w:ascii="Arial" w:eastAsia="Times New Roman" w:hAnsi="Arial" w:cs="Arial"/>
                <w:color w:val="000000"/>
                <w:kern w:val="0"/>
                <w:lang w:eastAsia="en-GB"/>
                <w14:ligatures w14:val="none"/>
              </w:rPr>
              <w:t>132</w:t>
            </w:r>
          </w:p>
        </w:tc>
        <w:tc>
          <w:tcPr>
            <w:tcW w:w="7435" w:type="dxa"/>
            <w:tcBorders>
              <w:top w:val="nil"/>
              <w:left w:val="nil"/>
              <w:bottom w:val="single" w:sz="4" w:space="0" w:color="auto"/>
              <w:right w:val="single" w:sz="4" w:space="0" w:color="auto"/>
            </w:tcBorders>
            <w:shd w:val="clear" w:color="auto" w:fill="FFFFFF" w:themeFill="background1"/>
            <w:noWrap/>
            <w:hideMark/>
          </w:tcPr>
          <w:p w14:paraId="4F15C7F5" w14:textId="77777777" w:rsidR="00C66014" w:rsidRPr="00BB79FA" w:rsidRDefault="00C66014">
            <w:pPr>
              <w:spacing w:after="0" w:line="240" w:lineRule="auto"/>
              <w:rPr>
                <w:rFonts w:ascii="Arial" w:eastAsia="Times New Roman" w:hAnsi="Arial" w:cs="Arial"/>
                <w:i/>
                <w:color w:val="000000" w:themeColor="text1"/>
                <w:u w:val="single"/>
                <w:lang w:eastAsia="en-GB"/>
              </w:rPr>
            </w:pPr>
            <w:r w:rsidRPr="00BB79FA">
              <w:rPr>
                <w:rFonts w:ascii="Arial" w:eastAsia="Times New Roman" w:hAnsi="Arial" w:cs="Arial"/>
                <w:i/>
                <w:color w:val="000000" w:themeColor="text1"/>
                <w:lang w:eastAsia="en-GB"/>
              </w:rPr>
              <w:t xml:space="preserve"> </w:t>
            </w:r>
            <w:r w:rsidRPr="00BB79FA">
              <w:rPr>
                <w:rFonts w:ascii="Arial" w:eastAsia="Times New Roman" w:hAnsi="Arial" w:cs="Arial"/>
                <w:i/>
                <w:color w:val="000000" w:themeColor="text1"/>
                <w:u w:val="single"/>
                <w:lang w:eastAsia="en-GB"/>
              </w:rPr>
              <w:t xml:space="preserve">     of which: assigned a RW of 50% </w:t>
            </w:r>
          </w:p>
          <w:p w14:paraId="11A4E12A" w14:textId="77777777" w:rsidR="00C66014" w:rsidRPr="00BB79FA" w:rsidRDefault="00C66014">
            <w:pPr>
              <w:spacing w:after="0" w:line="240" w:lineRule="auto"/>
              <w:rPr>
                <w:rFonts w:ascii="Arial" w:eastAsia="Times New Roman" w:hAnsi="Arial" w:cs="Arial"/>
                <w:i/>
                <w:iCs/>
                <w:color w:val="000000" w:themeColor="text1"/>
                <w:lang w:eastAsia="en-GB"/>
              </w:rPr>
            </w:pPr>
          </w:p>
          <w:p w14:paraId="7B0EE8BF" w14:textId="3DACB788" w:rsidR="00F96FA5" w:rsidRPr="00BB79FA" w:rsidRDefault="00F96FA5" w:rsidP="00F96FA5">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Only exposures</w:t>
            </w:r>
            <w:r w:rsidR="00C76F4E" w:rsidRPr="00BB79FA">
              <w:rPr>
                <w:rFonts w:ascii="Arial" w:eastAsia="Arial" w:hAnsi="Arial" w:cs="Arial"/>
                <w:i/>
                <w:color w:val="000000" w:themeColor="text1"/>
                <w:lang w:eastAsia="en-GB"/>
              </w:rPr>
              <w:t xml:space="preserve"> to SMEs</w:t>
            </w:r>
            <w:r w:rsidRPr="00BB79FA">
              <w:rPr>
                <w:rFonts w:ascii="Arial" w:eastAsia="Arial" w:hAnsi="Arial" w:cs="Arial"/>
                <w:i/>
                <w:color w:val="000000" w:themeColor="text1"/>
                <w:lang w:eastAsia="en-GB"/>
              </w:rPr>
              <w:t xml:space="preserve"> that are assigned a risk weight of 50% in Table 6 or 6A under Article 122 of the Credit Risk: Standardised Approach (CRR) Part shall be reported here.  </w:t>
            </w:r>
          </w:p>
          <w:p w14:paraId="656D397A" w14:textId="77777777" w:rsidR="00C66014" w:rsidRPr="00BB79FA" w:rsidRDefault="00C66014">
            <w:pPr>
              <w:spacing w:after="0" w:line="240" w:lineRule="auto"/>
              <w:rPr>
                <w:rFonts w:ascii="Arial" w:eastAsia="Times New Roman" w:hAnsi="Arial" w:cs="Arial"/>
                <w:i/>
                <w:iCs/>
                <w:color w:val="000000"/>
                <w:kern w:val="0"/>
                <w:lang w:eastAsia="en-GB"/>
                <w14:ligatures w14:val="none"/>
              </w:rPr>
            </w:pPr>
          </w:p>
        </w:tc>
      </w:tr>
      <w:tr w:rsidR="00C66014" w:rsidRPr="00BB79FA" w14:paraId="79F7E377" w14:textId="77777777" w:rsidTr="00481F75">
        <w:trPr>
          <w:trHeight w:val="300"/>
        </w:trPr>
        <w:tc>
          <w:tcPr>
            <w:tcW w:w="929" w:type="dxa"/>
            <w:tcBorders>
              <w:top w:val="nil"/>
              <w:left w:val="single" w:sz="4" w:space="0" w:color="auto"/>
              <w:bottom w:val="single" w:sz="4" w:space="0" w:color="auto"/>
              <w:right w:val="single" w:sz="4" w:space="0" w:color="auto"/>
            </w:tcBorders>
            <w:shd w:val="clear" w:color="auto" w:fill="FFFFFF" w:themeFill="background1"/>
            <w:noWrap/>
            <w:hideMark/>
          </w:tcPr>
          <w:p w14:paraId="66A5F39E" w14:textId="77777777" w:rsidR="00C66014" w:rsidRPr="00BB79FA" w:rsidRDefault="00C66014">
            <w:pPr>
              <w:spacing w:after="0" w:line="240" w:lineRule="auto"/>
              <w:rPr>
                <w:rFonts w:ascii="Arial" w:eastAsia="Times New Roman" w:hAnsi="Arial" w:cs="Arial"/>
                <w:color w:val="000000"/>
                <w:kern w:val="0"/>
                <w:lang w:eastAsia="en-GB"/>
                <w14:ligatures w14:val="none"/>
              </w:rPr>
            </w:pPr>
            <w:r w:rsidRPr="00BB79FA">
              <w:rPr>
                <w:rFonts w:ascii="Arial" w:eastAsia="Times New Roman" w:hAnsi="Arial" w:cs="Arial"/>
                <w:color w:val="000000"/>
                <w:kern w:val="0"/>
                <w:lang w:eastAsia="en-GB"/>
                <w14:ligatures w14:val="none"/>
              </w:rPr>
              <w:t>133</w:t>
            </w:r>
          </w:p>
        </w:tc>
        <w:tc>
          <w:tcPr>
            <w:tcW w:w="7435" w:type="dxa"/>
            <w:tcBorders>
              <w:top w:val="nil"/>
              <w:left w:val="nil"/>
              <w:bottom w:val="single" w:sz="4" w:space="0" w:color="auto"/>
              <w:right w:val="single" w:sz="4" w:space="0" w:color="auto"/>
            </w:tcBorders>
            <w:shd w:val="clear" w:color="auto" w:fill="FFFFFF" w:themeFill="background1"/>
            <w:noWrap/>
            <w:hideMark/>
          </w:tcPr>
          <w:p w14:paraId="077FE2B2" w14:textId="77777777" w:rsidR="00C66014" w:rsidRPr="00BB79FA" w:rsidRDefault="00C66014">
            <w:pPr>
              <w:spacing w:after="0" w:line="240" w:lineRule="auto"/>
              <w:rPr>
                <w:rFonts w:ascii="Arial" w:eastAsia="Times New Roman" w:hAnsi="Arial" w:cs="Arial"/>
                <w:i/>
                <w:color w:val="000000" w:themeColor="text1"/>
                <w:u w:val="single"/>
                <w:lang w:eastAsia="en-GB"/>
              </w:rPr>
            </w:pPr>
            <w:r w:rsidRPr="00BB79FA">
              <w:rPr>
                <w:rFonts w:ascii="Arial" w:eastAsia="Times New Roman" w:hAnsi="Arial" w:cs="Arial"/>
                <w:i/>
                <w:color w:val="000000" w:themeColor="text1"/>
                <w:u w:val="single"/>
                <w:lang w:eastAsia="en-GB"/>
              </w:rPr>
              <w:t xml:space="preserve">      of which: assigned a RW of 75% </w:t>
            </w:r>
          </w:p>
          <w:p w14:paraId="50288886" w14:textId="77777777" w:rsidR="00C66014" w:rsidRPr="00BB79FA" w:rsidRDefault="00C66014">
            <w:pPr>
              <w:spacing w:after="0" w:line="240" w:lineRule="auto"/>
              <w:rPr>
                <w:rFonts w:ascii="Arial" w:eastAsia="Times New Roman" w:hAnsi="Arial" w:cs="Arial"/>
                <w:i/>
                <w:iCs/>
                <w:color w:val="000000" w:themeColor="text1"/>
                <w:lang w:eastAsia="en-GB"/>
              </w:rPr>
            </w:pPr>
          </w:p>
          <w:p w14:paraId="3DABE596" w14:textId="2609A71D" w:rsidR="00F96FA5" w:rsidRPr="00BB79FA" w:rsidRDefault="00F96FA5" w:rsidP="00F96FA5">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Only exposures</w:t>
            </w:r>
            <w:r w:rsidR="00C76F4E" w:rsidRPr="00BB79FA">
              <w:rPr>
                <w:rFonts w:ascii="Arial" w:eastAsia="Arial" w:hAnsi="Arial" w:cs="Arial"/>
                <w:i/>
                <w:color w:val="000000" w:themeColor="text1"/>
                <w:lang w:eastAsia="en-GB"/>
              </w:rPr>
              <w:t xml:space="preserve"> to SMEs</w:t>
            </w:r>
            <w:r w:rsidRPr="00BB79FA">
              <w:rPr>
                <w:rFonts w:ascii="Arial" w:eastAsia="Arial" w:hAnsi="Arial" w:cs="Arial"/>
                <w:i/>
                <w:color w:val="000000" w:themeColor="text1"/>
                <w:lang w:eastAsia="en-GB"/>
              </w:rPr>
              <w:t xml:space="preserve"> that are assigned a risk weight of 75% in Table 6 under Article 122 of the Credit Risk: Standardised Approach (CRR) Part shall be reported here.  </w:t>
            </w:r>
          </w:p>
          <w:p w14:paraId="511050C8" w14:textId="77777777" w:rsidR="00C66014" w:rsidRPr="00BB79FA" w:rsidRDefault="00C66014">
            <w:pPr>
              <w:spacing w:after="0" w:line="240" w:lineRule="auto"/>
              <w:rPr>
                <w:rFonts w:ascii="Arial" w:eastAsia="Times New Roman" w:hAnsi="Arial" w:cs="Arial"/>
                <w:i/>
                <w:iCs/>
                <w:color w:val="000000"/>
                <w:kern w:val="0"/>
                <w:lang w:eastAsia="en-GB"/>
                <w14:ligatures w14:val="none"/>
              </w:rPr>
            </w:pPr>
          </w:p>
        </w:tc>
      </w:tr>
      <w:tr w:rsidR="00C66014" w:rsidRPr="00BB79FA" w14:paraId="39D8E5B1" w14:textId="77777777" w:rsidTr="00481F75">
        <w:trPr>
          <w:trHeight w:val="300"/>
        </w:trPr>
        <w:tc>
          <w:tcPr>
            <w:tcW w:w="929" w:type="dxa"/>
            <w:tcBorders>
              <w:top w:val="nil"/>
              <w:left w:val="single" w:sz="4" w:space="0" w:color="auto"/>
              <w:bottom w:val="single" w:sz="4" w:space="0" w:color="auto"/>
              <w:right w:val="single" w:sz="4" w:space="0" w:color="auto"/>
            </w:tcBorders>
            <w:shd w:val="clear" w:color="auto" w:fill="FFFFFF" w:themeFill="background1"/>
            <w:noWrap/>
            <w:hideMark/>
          </w:tcPr>
          <w:p w14:paraId="35DE5221" w14:textId="77777777" w:rsidR="00C66014" w:rsidRPr="00BB79FA" w:rsidRDefault="00C66014">
            <w:pPr>
              <w:spacing w:after="0" w:line="240" w:lineRule="auto"/>
              <w:rPr>
                <w:rFonts w:ascii="Arial" w:eastAsia="Times New Roman" w:hAnsi="Arial" w:cs="Arial"/>
                <w:color w:val="000000"/>
                <w:kern w:val="0"/>
                <w:lang w:eastAsia="en-GB"/>
                <w14:ligatures w14:val="none"/>
              </w:rPr>
            </w:pPr>
            <w:r w:rsidRPr="00BB79FA">
              <w:rPr>
                <w:rFonts w:ascii="Arial" w:eastAsia="Times New Roman" w:hAnsi="Arial" w:cs="Arial"/>
                <w:color w:val="000000"/>
                <w:kern w:val="0"/>
                <w:lang w:eastAsia="en-GB"/>
                <w14:ligatures w14:val="none"/>
              </w:rPr>
              <w:t>134</w:t>
            </w:r>
          </w:p>
        </w:tc>
        <w:tc>
          <w:tcPr>
            <w:tcW w:w="7435" w:type="dxa"/>
            <w:tcBorders>
              <w:top w:val="nil"/>
              <w:left w:val="nil"/>
              <w:bottom w:val="single" w:sz="4" w:space="0" w:color="auto"/>
              <w:right w:val="single" w:sz="4" w:space="0" w:color="auto"/>
            </w:tcBorders>
            <w:shd w:val="clear" w:color="auto" w:fill="FFFFFF" w:themeFill="background1"/>
            <w:noWrap/>
            <w:hideMark/>
          </w:tcPr>
          <w:p w14:paraId="2D01863E" w14:textId="77777777" w:rsidR="00C66014" w:rsidRPr="00BB79FA" w:rsidRDefault="00C66014">
            <w:pPr>
              <w:spacing w:after="0" w:line="240" w:lineRule="auto"/>
              <w:rPr>
                <w:rFonts w:ascii="Arial" w:eastAsia="Times New Roman" w:hAnsi="Arial" w:cs="Arial"/>
                <w:i/>
                <w:iCs/>
                <w:color w:val="000000" w:themeColor="text1"/>
                <w:lang w:eastAsia="en-GB"/>
              </w:rPr>
            </w:pPr>
            <w:r w:rsidRPr="00BB79FA">
              <w:rPr>
                <w:rFonts w:ascii="Arial" w:eastAsia="Times New Roman" w:hAnsi="Arial" w:cs="Arial"/>
                <w:i/>
                <w:color w:val="000000" w:themeColor="text1"/>
                <w:u w:val="single"/>
                <w:lang w:eastAsia="en-GB"/>
              </w:rPr>
              <w:t xml:space="preserve">      of which: assigned a RW of 85% </w:t>
            </w:r>
          </w:p>
          <w:p w14:paraId="2E87D297" w14:textId="77777777" w:rsidR="00C66014" w:rsidRPr="00BB79FA" w:rsidRDefault="00C66014">
            <w:pPr>
              <w:spacing w:after="0" w:line="240" w:lineRule="auto"/>
              <w:rPr>
                <w:rFonts w:ascii="Arial" w:eastAsia="Times New Roman" w:hAnsi="Arial" w:cs="Arial"/>
                <w:i/>
                <w:iCs/>
                <w:color w:val="000000" w:themeColor="text1"/>
                <w:lang w:eastAsia="en-GB"/>
              </w:rPr>
            </w:pPr>
          </w:p>
          <w:p w14:paraId="75EF7F7F" w14:textId="4F8816C1" w:rsidR="00F96FA5" w:rsidRPr="00BB79FA" w:rsidRDefault="00F96FA5" w:rsidP="00F96FA5">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Only exposures</w:t>
            </w:r>
            <w:r w:rsidR="00C76F4E" w:rsidRPr="00BB79FA">
              <w:rPr>
                <w:rFonts w:ascii="Arial" w:eastAsia="Arial" w:hAnsi="Arial" w:cs="Arial"/>
                <w:i/>
                <w:color w:val="000000" w:themeColor="text1"/>
                <w:lang w:eastAsia="en-GB"/>
              </w:rPr>
              <w:t xml:space="preserve"> to SMEs</w:t>
            </w:r>
            <w:r w:rsidRPr="00BB79FA">
              <w:rPr>
                <w:rFonts w:ascii="Arial" w:eastAsia="Arial" w:hAnsi="Arial" w:cs="Arial"/>
                <w:i/>
                <w:color w:val="000000" w:themeColor="text1"/>
                <w:lang w:eastAsia="en-GB"/>
              </w:rPr>
              <w:t xml:space="preserve"> that are assigned a risk weight of 85% under Article 122(11) of the Credit Risk: Standardised Approach (CRR) Part shall be reported here.  </w:t>
            </w:r>
          </w:p>
          <w:p w14:paraId="36D8E513" w14:textId="77777777" w:rsidR="00C66014" w:rsidRPr="00BB79FA" w:rsidRDefault="00C66014">
            <w:pPr>
              <w:spacing w:after="0" w:line="240" w:lineRule="auto"/>
              <w:rPr>
                <w:rFonts w:ascii="Arial" w:eastAsia="Times New Roman" w:hAnsi="Arial" w:cs="Arial"/>
                <w:i/>
                <w:iCs/>
                <w:color w:val="000000"/>
                <w:kern w:val="0"/>
                <w:lang w:eastAsia="en-GB"/>
                <w14:ligatures w14:val="none"/>
              </w:rPr>
            </w:pPr>
          </w:p>
        </w:tc>
      </w:tr>
      <w:tr w:rsidR="00C66014" w:rsidRPr="00BB79FA" w14:paraId="1C83259B" w14:textId="77777777" w:rsidTr="00481F75">
        <w:trPr>
          <w:trHeight w:val="300"/>
        </w:trPr>
        <w:tc>
          <w:tcPr>
            <w:tcW w:w="929" w:type="dxa"/>
            <w:tcBorders>
              <w:top w:val="nil"/>
              <w:left w:val="single" w:sz="4" w:space="0" w:color="auto"/>
              <w:bottom w:val="single" w:sz="4" w:space="0" w:color="auto"/>
              <w:right w:val="single" w:sz="4" w:space="0" w:color="auto"/>
            </w:tcBorders>
            <w:shd w:val="clear" w:color="auto" w:fill="FFFFFF" w:themeFill="background1"/>
            <w:noWrap/>
            <w:hideMark/>
          </w:tcPr>
          <w:p w14:paraId="50F07E55" w14:textId="77777777" w:rsidR="00C66014" w:rsidRPr="00BB79FA" w:rsidRDefault="00C66014">
            <w:pPr>
              <w:spacing w:after="0" w:line="240" w:lineRule="auto"/>
              <w:rPr>
                <w:rFonts w:ascii="Arial" w:eastAsia="Times New Roman" w:hAnsi="Arial" w:cs="Arial"/>
                <w:color w:val="000000"/>
                <w:kern w:val="0"/>
                <w:lang w:eastAsia="en-GB"/>
                <w14:ligatures w14:val="none"/>
              </w:rPr>
            </w:pPr>
            <w:r w:rsidRPr="00BB79FA">
              <w:rPr>
                <w:rFonts w:ascii="Arial" w:eastAsia="Times New Roman" w:hAnsi="Arial" w:cs="Arial"/>
                <w:color w:val="000000"/>
                <w:kern w:val="0"/>
                <w:lang w:eastAsia="en-GB"/>
                <w14:ligatures w14:val="none"/>
              </w:rPr>
              <w:t>135</w:t>
            </w:r>
          </w:p>
        </w:tc>
        <w:tc>
          <w:tcPr>
            <w:tcW w:w="7435" w:type="dxa"/>
            <w:tcBorders>
              <w:top w:val="nil"/>
              <w:left w:val="nil"/>
              <w:bottom w:val="single" w:sz="4" w:space="0" w:color="auto"/>
              <w:right w:val="single" w:sz="4" w:space="0" w:color="auto"/>
            </w:tcBorders>
            <w:shd w:val="clear" w:color="auto" w:fill="FFFFFF" w:themeFill="background1"/>
            <w:noWrap/>
            <w:hideMark/>
          </w:tcPr>
          <w:p w14:paraId="352B6436" w14:textId="77777777" w:rsidR="00C66014" w:rsidRPr="00BB79FA" w:rsidRDefault="00C66014">
            <w:pPr>
              <w:spacing w:after="0" w:line="240" w:lineRule="auto"/>
              <w:rPr>
                <w:rFonts w:ascii="Arial" w:eastAsia="Times New Roman" w:hAnsi="Arial" w:cs="Arial"/>
                <w:i/>
                <w:color w:val="000000" w:themeColor="text1"/>
                <w:u w:val="single"/>
                <w:lang w:eastAsia="en-GB"/>
              </w:rPr>
            </w:pPr>
            <w:r w:rsidRPr="00BB79FA">
              <w:rPr>
                <w:rFonts w:ascii="Arial" w:eastAsia="Times New Roman" w:hAnsi="Arial" w:cs="Arial"/>
                <w:i/>
                <w:color w:val="000000" w:themeColor="text1"/>
                <w:u w:val="single"/>
                <w:lang w:eastAsia="en-GB"/>
              </w:rPr>
              <w:t xml:space="preserve">      of which: assigned a RW of 100% </w:t>
            </w:r>
          </w:p>
          <w:p w14:paraId="5CB04395" w14:textId="77777777" w:rsidR="00C66014" w:rsidRPr="00BB79FA" w:rsidRDefault="00C66014">
            <w:pPr>
              <w:spacing w:after="0" w:line="240" w:lineRule="auto"/>
              <w:rPr>
                <w:rFonts w:ascii="Arial" w:eastAsia="Times New Roman" w:hAnsi="Arial" w:cs="Arial"/>
                <w:i/>
                <w:iCs/>
                <w:color w:val="000000" w:themeColor="text1"/>
                <w:lang w:eastAsia="en-GB"/>
              </w:rPr>
            </w:pPr>
          </w:p>
          <w:p w14:paraId="7A4A6813" w14:textId="6B42BA3A" w:rsidR="00F96FA5" w:rsidRPr="00BB79FA" w:rsidRDefault="00F96FA5" w:rsidP="00F96FA5">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Only exposures</w:t>
            </w:r>
            <w:r w:rsidR="00CD5536" w:rsidRPr="00BB79FA">
              <w:rPr>
                <w:rFonts w:ascii="Arial" w:eastAsia="Arial" w:hAnsi="Arial" w:cs="Arial"/>
                <w:i/>
                <w:color w:val="000000" w:themeColor="text1"/>
                <w:lang w:eastAsia="en-GB"/>
              </w:rPr>
              <w:t xml:space="preserve"> to SMEs</w:t>
            </w:r>
            <w:r w:rsidRPr="00BB79FA">
              <w:rPr>
                <w:rFonts w:ascii="Arial" w:eastAsia="Arial" w:hAnsi="Arial" w:cs="Arial"/>
                <w:i/>
                <w:color w:val="000000" w:themeColor="text1"/>
                <w:lang w:eastAsia="en-GB"/>
              </w:rPr>
              <w:t xml:space="preserve"> that are assigned a risk weight of 100% in Table 6 or 6A under Article 122 of the Credit Risk: Standardised Approach (CRR) Part shall be reported here.  </w:t>
            </w:r>
          </w:p>
          <w:p w14:paraId="493F4D3E" w14:textId="77777777" w:rsidR="00C66014" w:rsidRPr="00BB79FA" w:rsidRDefault="00C66014">
            <w:pPr>
              <w:spacing w:after="0" w:line="240" w:lineRule="auto"/>
              <w:rPr>
                <w:rFonts w:ascii="Arial" w:eastAsia="Times New Roman" w:hAnsi="Arial" w:cs="Arial"/>
                <w:i/>
                <w:iCs/>
                <w:color w:val="000000"/>
                <w:kern w:val="0"/>
                <w:lang w:eastAsia="en-GB"/>
                <w14:ligatures w14:val="none"/>
              </w:rPr>
            </w:pPr>
          </w:p>
        </w:tc>
      </w:tr>
      <w:tr w:rsidR="00C66014" w:rsidRPr="00BB79FA" w14:paraId="0779A413" w14:textId="77777777" w:rsidTr="00481F75">
        <w:trPr>
          <w:trHeight w:val="300"/>
        </w:trPr>
        <w:tc>
          <w:tcPr>
            <w:tcW w:w="929" w:type="dxa"/>
            <w:tcBorders>
              <w:top w:val="nil"/>
              <w:left w:val="single" w:sz="4" w:space="0" w:color="auto"/>
              <w:bottom w:val="single" w:sz="4" w:space="0" w:color="auto"/>
              <w:right w:val="single" w:sz="4" w:space="0" w:color="auto"/>
            </w:tcBorders>
            <w:shd w:val="clear" w:color="auto" w:fill="FFFFFF" w:themeFill="background1"/>
            <w:noWrap/>
            <w:hideMark/>
          </w:tcPr>
          <w:p w14:paraId="6E467C3B" w14:textId="77777777" w:rsidR="00C66014" w:rsidRPr="00BB79FA" w:rsidRDefault="00C66014">
            <w:pPr>
              <w:spacing w:after="0" w:line="240" w:lineRule="auto"/>
              <w:rPr>
                <w:rFonts w:ascii="Arial" w:eastAsia="Times New Roman" w:hAnsi="Arial" w:cs="Arial"/>
                <w:color w:val="000000"/>
                <w:kern w:val="0"/>
                <w:lang w:eastAsia="en-GB"/>
                <w14:ligatures w14:val="none"/>
              </w:rPr>
            </w:pPr>
            <w:r w:rsidRPr="00BB79FA">
              <w:rPr>
                <w:rFonts w:ascii="Arial" w:eastAsia="Times New Roman" w:hAnsi="Arial" w:cs="Arial"/>
                <w:color w:val="000000"/>
                <w:kern w:val="0"/>
                <w:lang w:eastAsia="en-GB"/>
                <w14:ligatures w14:val="none"/>
              </w:rPr>
              <w:t>136</w:t>
            </w:r>
          </w:p>
        </w:tc>
        <w:tc>
          <w:tcPr>
            <w:tcW w:w="7435" w:type="dxa"/>
            <w:tcBorders>
              <w:top w:val="nil"/>
              <w:left w:val="nil"/>
              <w:bottom w:val="single" w:sz="4" w:space="0" w:color="auto"/>
              <w:right w:val="single" w:sz="4" w:space="0" w:color="auto"/>
            </w:tcBorders>
            <w:shd w:val="clear" w:color="auto" w:fill="FFFFFF" w:themeFill="background1"/>
            <w:noWrap/>
            <w:hideMark/>
          </w:tcPr>
          <w:p w14:paraId="2118C3DE" w14:textId="77777777" w:rsidR="00C66014" w:rsidRPr="00BB79FA" w:rsidRDefault="00C66014">
            <w:pPr>
              <w:spacing w:after="0" w:line="240" w:lineRule="auto"/>
              <w:rPr>
                <w:rFonts w:ascii="Arial" w:eastAsia="Times New Roman" w:hAnsi="Arial" w:cs="Arial"/>
                <w:i/>
                <w:color w:val="000000" w:themeColor="text1"/>
                <w:u w:val="single"/>
                <w:lang w:eastAsia="en-GB"/>
              </w:rPr>
            </w:pPr>
            <w:r w:rsidRPr="00BB79FA">
              <w:rPr>
                <w:rFonts w:ascii="Arial" w:eastAsia="Times New Roman" w:hAnsi="Arial" w:cs="Arial"/>
                <w:i/>
                <w:color w:val="000000" w:themeColor="text1"/>
                <w:u w:val="single"/>
                <w:lang w:eastAsia="en-GB"/>
              </w:rPr>
              <w:t xml:space="preserve">      of which: assigned a RW of 150% </w:t>
            </w:r>
          </w:p>
          <w:p w14:paraId="4E1EECCC" w14:textId="77777777" w:rsidR="00C66014" w:rsidRPr="00BB79FA" w:rsidRDefault="00C66014">
            <w:pPr>
              <w:spacing w:after="0" w:line="240" w:lineRule="auto"/>
              <w:rPr>
                <w:rFonts w:ascii="Arial" w:eastAsia="Times New Roman" w:hAnsi="Arial" w:cs="Arial"/>
                <w:i/>
                <w:iCs/>
                <w:color w:val="000000" w:themeColor="text1"/>
                <w:lang w:eastAsia="en-GB"/>
              </w:rPr>
            </w:pPr>
          </w:p>
          <w:p w14:paraId="70E7D844" w14:textId="1D754070" w:rsidR="00F96FA5" w:rsidRPr="00BB79FA" w:rsidRDefault="00F96FA5" w:rsidP="00F96FA5">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Only exposures</w:t>
            </w:r>
            <w:r w:rsidR="00CD5536" w:rsidRPr="00BB79FA">
              <w:rPr>
                <w:rFonts w:ascii="Arial" w:eastAsia="Arial" w:hAnsi="Arial" w:cs="Arial"/>
                <w:i/>
                <w:color w:val="000000" w:themeColor="text1"/>
                <w:lang w:eastAsia="en-GB"/>
              </w:rPr>
              <w:t xml:space="preserve"> to SMEs</w:t>
            </w:r>
            <w:r w:rsidRPr="00BB79FA">
              <w:rPr>
                <w:rFonts w:ascii="Arial" w:eastAsia="Arial" w:hAnsi="Arial" w:cs="Arial"/>
                <w:i/>
                <w:color w:val="000000" w:themeColor="text1"/>
                <w:lang w:eastAsia="en-GB"/>
              </w:rPr>
              <w:t xml:space="preserve"> that are assigned a risk weight of 150% in Table 6 or 6A under Article 122 of the Credit Risk: Standardised Approach (CRR) Part shall be reported here.  </w:t>
            </w:r>
          </w:p>
          <w:p w14:paraId="1CEB3C6B" w14:textId="77777777" w:rsidR="00C66014" w:rsidRPr="00BB79FA" w:rsidRDefault="00C66014">
            <w:pPr>
              <w:spacing w:after="0" w:line="240" w:lineRule="auto"/>
              <w:rPr>
                <w:rFonts w:ascii="Arial" w:eastAsia="Times New Roman" w:hAnsi="Arial" w:cs="Arial"/>
                <w:i/>
                <w:iCs/>
                <w:color w:val="000000"/>
                <w:kern w:val="0"/>
                <w:lang w:eastAsia="en-GB"/>
                <w14:ligatures w14:val="none"/>
              </w:rPr>
            </w:pPr>
          </w:p>
        </w:tc>
      </w:tr>
      <w:tr w:rsidR="00C66014" w:rsidRPr="00BB79FA" w14:paraId="4BB46216" w14:textId="77777777" w:rsidTr="00481F75">
        <w:trPr>
          <w:trHeight w:val="276"/>
        </w:trPr>
        <w:tc>
          <w:tcPr>
            <w:tcW w:w="929" w:type="dxa"/>
            <w:tcBorders>
              <w:top w:val="nil"/>
              <w:left w:val="single" w:sz="4" w:space="0" w:color="auto"/>
              <w:bottom w:val="single" w:sz="4" w:space="0" w:color="auto"/>
              <w:right w:val="single" w:sz="4" w:space="0" w:color="auto"/>
            </w:tcBorders>
            <w:shd w:val="clear" w:color="auto" w:fill="FFFFFF" w:themeFill="background1"/>
            <w:noWrap/>
            <w:hideMark/>
          </w:tcPr>
          <w:p w14:paraId="60982027" w14:textId="3B951CFA" w:rsidR="00C66014" w:rsidRPr="00BB79FA" w:rsidRDefault="00C66014">
            <w:pPr>
              <w:spacing w:after="0" w:line="240" w:lineRule="auto"/>
              <w:rPr>
                <w:rFonts w:ascii="Arial" w:eastAsia="Times New Roman" w:hAnsi="Arial" w:cs="Arial"/>
                <w:color w:val="000000"/>
                <w:kern w:val="0"/>
                <w:lang w:eastAsia="en-GB"/>
                <w14:ligatures w14:val="none"/>
              </w:rPr>
            </w:pPr>
            <w:r w:rsidRPr="00BB79FA">
              <w:rPr>
                <w:rFonts w:ascii="Arial" w:eastAsia="Times New Roman" w:hAnsi="Arial" w:cs="Arial"/>
                <w:color w:val="000000"/>
                <w:kern w:val="0"/>
                <w:lang w:eastAsia="en-GB"/>
                <w14:ligatures w14:val="none"/>
              </w:rPr>
              <w:t xml:space="preserve">140 </w:t>
            </w:r>
            <w:r w:rsidR="004F4129" w:rsidRPr="00BB79FA">
              <w:rPr>
                <w:rFonts w:ascii="Arial" w:eastAsia="Times New Roman" w:hAnsi="Arial" w:cs="Arial"/>
                <w:color w:val="000000"/>
                <w:kern w:val="0"/>
                <w:lang w:eastAsia="en-GB"/>
                <w14:ligatures w14:val="none"/>
              </w:rPr>
              <w:t>–</w:t>
            </w:r>
            <w:r w:rsidRPr="00BB79FA">
              <w:rPr>
                <w:rFonts w:ascii="Arial" w:eastAsia="Times New Roman" w:hAnsi="Arial" w:cs="Arial"/>
                <w:color w:val="000000"/>
                <w:kern w:val="0"/>
                <w:lang w:eastAsia="en-GB"/>
                <w14:ligatures w14:val="none"/>
              </w:rPr>
              <w:t xml:space="preserve"> 2</w:t>
            </w:r>
            <w:r w:rsidR="004F4129" w:rsidRPr="00BB79FA">
              <w:rPr>
                <w:rFonts w:ascii="Arial" w:eastAsia="Times New Roman" w:hAnsi="Arial" w:cs="Arial"/>
                <w:color w:val="000000"/>
                <w:kern w:val="0"/>
                <w:lang w:eastAsia="en-GB"/>
                <w14:ligatures w14:val="none"/>
              </w:rPr>
              <w:t>4</w:t>
            </w:r>
            <w:r w:rsidR="000C5EC7" w:rsidRPr="00BB79FA">
              <w:rPr>
                <w:rFonts w:ascii="Arial" w:eastAsia="Times New Roman" w:hAnsi="Arial" w:cs="Arial"/>
                <w:color w:val="000000"/>
                <w:kern w:val="0"/>
                <w:lang w:eastAsia="en-GB"/>
                <w14:ligatures w14:val="none"/>
              </w:rPr>
              <w:t>5</w:t>
            </w:r>
          </w:p>
        </w:tc>
        <w:tc>
          <w:tcPr>
            <w:tcW w:w="7435" w:type="dxa"/>
            <w:tcBorders>
              <w:top w:val="nil"/>
              <w:left w:val="nil"/>
              <w:bottom w:val="single" w:sz="4" w:space="0" w:color="auto"/>
              <w:right w:val="single" w:sz="4" w:space="0" w:color="auto"/>
            </w:tcBorders>
            <w:shd w:val="clear" w:color="auto" w:fill="FFFFFF" w:themeFill="background1"/>
            <w:noWrap/>
            <w:hideMark/>
          </w:tcPr>
          <w:p w14:paraId="47165B4C" w14:textId="77777777" w:rsidR="00C66014" w:rsidRPr="00BB79FA" w:rsidRDefault="00C66014">
            <w:pPr>
              <w:spacing w:after="0" w:line="240" w:lineRule="auto"/>
              <w:rPr>
                <w:rFonts w:ascii="Arial" w:eastAsia="Times New Roman" w:hAnsi="Arial" w:cs="Arial"/>
                <w:b/>
                <w:bCs/>
                <w:i/>
                <w:iCs/>
                <w:color w:val="000000"/>
                <w:kern w:val="0"/>
                <w:lang w:eastAsia="en-GB"/>
                <w14:ligatures w14:val="none"/>
              </w:rPr>
            </w:pPr>
          </w:p>
          <w:p w14:paraId="447FB4E3" w14:textId="28C91204" w:rsidR="00C66014" w:rsidRPr="00BB79FA" w:rsidRDefault="0095620A">
            <w:pPr>
              <w:spacing w:after="0" w:line="240" w:lineRule="auto"/>
              <w:rPr>
                <w:rFonts w:ascii="Arial" w:eastAsia="Arial" w:hAnsi="Arial" w:cs="Arial"/>
                <w:i/>
                <w:color w:val="000000" w:themeColor="text1"/>
                <w:lang w:eastAsia="en-GB"/>
              </w:rPr>
            </w:pPr>
            <w:r w:rsidRPr="00BB79FA">
              <w:rPr>
                <w:rFonts w:ascii="Arial" w:eastAsia="Arial" w:hAnsi="Arial" w:cs="Arial"/>
                <w:bCs/>
                <w:i/>
                <w:color w:val="000000" w:themeColor="text1"/>
                <w:lang w:eastAsia="en-GB"/>
              </w:rPr>
              <w:t>Do not</w:t>
            </w:r>
            <w:r w:rsidR="00C66014" w:rsidRPr="00BB79FA">
              <w:rPr>
                <w:rFonts w:ascii="Arial" w:eastAsia="Arial" w:hAnsi="Arial" w:cs="Arial"/>
                <w:i/>
                <w:color w:val="000000" w:themeColor="text1"/>
                <w:lang w:eastAsia="en-GB"/>
              </w:rPr>
              <w:t xml:space="preserve"> complete these rows for </w:t>
            </w:r>
            <w:r w:rsidR="009D4BA0" w:rsidRPr="00BB79FA">
              <w:rPr>
                <w:rFonts w:ascii="Arial" w:eastAsia="Arial" w:hAnsi="Arial" w:cs="Arial"/>
                <w:i/>
                <w:color w:val="000000" w:themeColor="text1"/>
                <w:lang w:eastAsia="en-GB"/>
              </w:rPr>
              <w:t>Submission 2</w:t>
            </w:r>
            <w:r w:rsidR="000C5EC7" w:rsidRPr="00BB79FA">
              <w:rPr>
                <w:rFonts w:ascii="Arial" w:eastAsia="Arial" w:hAnsi="Arial" w:cs="Arial"/>
                <w:i/>
                <w:color w:val="000000" w:themeColor="text1"/>
                <w:lang w:eastAsia="en-GB"/>
              </w:rPr>
              <w:t>c</w:t>
            </w:r>
            <w:r w:rsidR="00C66014" w:rsidRPr="00BB79FA">
              <w:rPr>
                <w:rFonts w:ascii="Arial" w:eastAsia="Arial" w:hAnsi="Arial" w:cs="Arial"/>
                <w:i/>
                <w:color w:val="000000" w:themeColor="text1"/>
                <w:lang w:eastAsia="en-GB"/>
              </w:rPr>
              <w:t>.</w:t>
            </w:r>
          </w:p>
          <w:p w14:paraId="724B3EC8" w14:textId="77777777" w:rsidR="00C66014" w:rsidRPr="00BB79FA" w:rsidRDefault="00C66014">
            <w:pPr>
              <w:spacing w:after="0" w:line="240" w:lineRule="auto"/>
              <w:rPr>
                <w:rFonts w:ascii="Arial" w:eastAsia="Times New Roman" w:hAnsi="Arial" w:cs="Arial"/>
                <w:b/>
                <w:bCs/>
                <w:i/>
                <w:iCs/>
                <w:color w:val="000000"/>
                <w:kern w:val="0"/>
                <w:lang w:eastAsia="en-GB"/>
                <w14:ligatures w14:val="none"/>
              </w:rPr>
            </w:pPr>
          </w:p>
        </w:tc>
      </w:tr>
      <w:tr w:rsidR="00C66014" w:rsidRPr="00BB79FA" w14:paraId="4A1DAE6E" w14:textId="77777777" w:rsidTr="00481F75">
        <w:trPr>
          <w:trHeight w:val="276"/>
        </w:trPr>
        <w:tc>
          <w:tcPr>
            <w:tcW w:w="929" w:type="dxa"/>
            <w:tcBorders>
              <w:top w:val="nil"/>
              <w:left w:val="single" w:sz="4" w:space="0" w:color="auto"/>
              <w:bottom w:val="single" w:sz="4" w:space="0" w:color="auto"/>
              <w:right w:val="single" w:sz="4" w:space="0" w:color="auto"/>
            </w:tcBorders>
            <w:shd w:val="clear" w:color="auto" w:fill="FFFFFF" w:themeFill="background1"/>
            <w:noWrap/>
            <w:hideMark/>
          </w:tcPr>
          <w:p w14:paraId="5386ED76" w14:textId="0EA4FD3B" w:rsidR="00C66014" w:rsidRPr="00BB79FA" w:rsidRDefault="00C66014">
            <w:pPr>
              <w:spacing w:after="0" w:line="240" w:lineRule="auto"/>
              <w:rPr>
                <w:rFonts w:ascii="Arial" w:eastAsia="Times New Roman" w:hAnsi="Arial" w:cs="Arial"/>
                <w:color w:val="000000"/>
                <w:kern w:val="0"/>
                <w:lang w:eastAsia="en-GB"/>
                <w14:ligatures w14:val="none"/>
              </w:rPr>
            </w:pPr>
            <w:r w:rsidRPr="00BB79FA">
              <w:rPr>
                <w:rFonts w:ascii="Arial" w:eastAsia="Times New Roman" w:hAnsi="Arial" w:cs="Arial"/>
                <w:color w:val="000000"/>
                <w:kern w:val="0"/>
                <w:lang w:eastAsia="en-GB"/>
                <w14:ligatures w14:val="none"/>
              </w:rPr>
              <w:t>2</w:t>
            </w:r>
            <w:r w:rsidR="004F4129" w:rsidRPr="00BB79FA">
              <w:rPr>
                <w:rFonts w:ascii="Arial" w:eastAsia="Times New Roman" w:hAnsi="Arial" w:cs="Arial"/>
                <w:color w:val="000000"/>
                <w:kern w:val="0"/>
                <w:lang w:eastAsia="en-GB"/>
                <w14:ligatures w14:val="none"/>
              </w:rPr>
              <w:t>5</w:t>
            </w:r>
            <w:r w:rsidRPr="00BB79FA">
              <w:rPr>
                <w:rFonts w:ascii="Arial" w:eastAsia="Times New Roman" w:hAnsi="Arial" w:cs="Arial"/>
                <w:color w:val="000000"/>
                <w:kern w:val="0"/>
                <w:lang w:eastAsia="en-GB"/>
                <w14:ligatures w14:val="none"/>
              </w:rPr>
              <w:t>0</w:t>
            </w:r>
          </w:p>
        </w:tc>
        <w:tc>
          <w:tcPr>
            <w:tcW w:w="7435" w:type="dxa"/>
            <w:tcBorders>
              <w:top w:val="nil"/>
              <w:left w:val="nil"/>
              <w:bottom w:val="single" w:sz="4" w:space="0" w:color="auto"/>
              <w:right w:val="single" w:sz="4" w:space="0" w:color="auto"/>
            </w:tcBorders>
            <w:shd w:val="clear" w:color="auto" w:fill="FFFFFF" w:themeFill="background1"/>
            <w:noWrap/>
            <w:hideMark/>
          </w:tcPr>
          <w:p w14:paraId="7A509C75" w14:textId="77777777" w:rsidR="00C66014" w:rsidRPr="00BB79FA" w:rsidRDefault="00C66014">
            <w:pPr>
              <w:spacing w:after="0" w:line="240" w:lineRule="auto"/>
              <w:rPr>
                <w:rFonts w:ascii="Arial" w:eastAsia="Arial" w:hAnsi="Arial" w:cs="Arial"/>
                <w:b/>
                <w:i/>
                <w:color w:val="000000" w:themeColor="text1"/>
                <w:u w:val="single"/>
                <w:lang w:eastAsia="en-GB"/>
              </w:rPr>
            </w:pPr>
            <w:r w:rsidRPr="00BB79FA">
              <w:rPr>
                <w:rFonts w:ascii="Arial" w:eastAsia="Arial" w:hAnsi="Arial" w:cs="Arial"/>
                <w:b/>
                <w:i/>
                <w:color w:val="000000"/>
                <w:kern w:val="0"/>
                <w:u w:val="single"/>
                <w:lang w:eastAsia="en-GB"/>
                <w14:ligatures w14:val="none"/>
              </w:rPr>
              <w:t xml:space="preserve">   of which: project finance exposures (unrated)</w:t>
            </w:r>
          </w:p>
          <w:p w14:paraId="018F377C" w14:textId="77777777" w:rsidR="00C66014" w:rsidRPr="00BB79FA" w:rsidRDefault="00C66014">
            <w:pPr>
              <w:spacing w:after="0" w:line="240" w:lineRule="auto"/>
              <w:rPr>
                <w:rFonts w:ascii="Arial" w:eastAsia="Arial" w:hAnsi="Arial" w:cs="Arial"/>
                <w:b/>
                <w:i/>
                <w:color w:val="000000" w:themeColor="text1"/>
                <w:lang w:eastAsia="en-GB"/>
              </w:rPr>
            </w:pPr>
          </w:p>
          <w:p w14:paraId="4DB10EF2" w14:textId="77777777" w:rsidR="003761EF" w:rsidRPr="00BB79FA" w:rsidRDefault="003761EF" w:rsidP="003761EF">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Sub-total row of rows 261, 262 and 263.</w:t>
            </w:r>
          </w:p>
          <w:p w14:paraId="1C972BD0" w14:textId="77777777" w:rsidR="003761EF" w:rsidRPr="00BB79FA" w:rsidRDefault="003761EF" w:rsidP="003761EF">
            <w:pPr>
              <w:spacing w:after="0" w:line="240" w:lineRule="auto"/>
              <w:rPr>
                <w:rFonts w:ascii="Arial" w:eastAsia="Arial" w:hAnsi="Arial" w:cs="Arial"/>
                <w:b/>
                <w:i/>
                <w:color w:val="000000" w:themeColor="text1"/>
                <w:lang w:eastAsia="en-GB"/>
              </w:rPr>
            </w:pPr>
          </w:p>
          <w:p w14:paraId="6E78927E" w14:textId="77777777" w:rsidR="003761EF" w:rsidRPr="00BB79FA" w:rsidRDefault="003761EF" w:rsidP="003761EF">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lastRenderedPageBreak/>
              <w:t>This row will be calculated by a formula, firms do not need to report here.</w:t>
            </w:r>
          </w:p>
          <w:p w14:paraId="0E72185F" w14:textId="77777777" w:rsidR="00C66014" w:rsidRPr="00BB79FA" w:rsidRDefault="00C66014">
            <w:pPr>
              <w:spacing w:after="0" w:line="240" w:lineRule="auto"/>
              <w:rPr>
                <w:rFonts w:ascii="Arial" w:eastAsia="Times New Roman" w:hAnsi="Arial" w:cs="Arial"/>
                <w:b/>
                <w:bCs/>
                <w:i/>
                <w:iCs/>
                <w:color w:val="000000"/>
                <w:kern w:val="0"/>
                <w:lang w:eastAsia="en-GB"/>
                <w14:ligatures w14:val="none"/>
              </w:rPr>
            </w:pPr>
          </w:p>
        </w:tc>
      </w:tr>
      <w:tr w:rsidR="00C66014" w:rsidRPr="00BB79FA" w14:paraId="36BD1E6F" w14:textId="77777777" w:rsidTr="00481F75">
        <w:trPr>
          <w:trHeight w:val="276"/>
        </w:trPr>
        <w:tc>
          <w:tcPr>
            <w:tcW w:w="929" w:type="dxa"/>
            <w:tcBorders>
              <w:top w:val="nil"/>
              <w:left w:val="single" w:sz="4" w:space="0" w:color="auto"/>
              <w:bottom w:val="single" w:sz="4" w:space="0" w:color="auto"/>
              <w:right w:val="single" w:sz="4" w:space="0" w:color="auto"/>
            </w:tcBorders>
            <w:shd w:val="clear" w:color="auto" w:fill="FFFFFF" w:themeFill="background1"/>
            <w:noWrap/>
            <w:hideMark/>
          </w:tcPr>
          <w:p w14:paraId="6FB99B75" w14:textId="16908BE1" w:rsidR="00C66014" w:rsidRPr="00BB79FA" w:rsidRDefault="00C66014">
            <w:pPr>
              <w:spacing w:after="0" w:line="240" w:lineRule="auto"/>
              <w:rPr>
                <w:rFonts w:ascii="Arial" w:eastAsia="Times New Roman" w:hAnsi="Arial" w:cs="Arial"/>
                <w:color w:val="000000"/>
                <w:kern w:val="0"/>
                <w:lang w:eastAsia="en-GB"/>
                <w14:ligatures w14:val="none"/>
              </w:rPr>
            </w:pPr>
            <w:r w:rsidRPr="00BB79FA">
              <w:rPr>
                <w:rFonts w:ascii="Arial" w:eastAsia="Times New Roman" w:hAnsi="Arial" w:cs="Arial"/>
                <w:color w:val="000000"/>
                <w:kern w:val="0"/>
                <w:lang w:eastAsia="en-GB"/>
                <w14:ligatures w14:val="none"/>
              </w:rPr>
              <w:lastRenderedPageBreak/>
              <w:t>2</w:t>
            </w:r>
            <w:r w:rsidR="004F4129" w:rsidRPr="00BB79FA">
              <w:rPr>
                <w:rFonts w:ascii="Arial" w:eastAsia="Times New Roman" w:hAnsi="Arial" w:cs="Arial"/>
                <w:color w:val="000000"/>
                <w:kern w:val="0"/>
                <w:lang w:eastAsia="en-GB"/>
                <w14:ligatures w14:val="none"/>
              </w:rPr>
              <w:t>5</w:t>
            </w:r>
            <w:r w:rsidRPr="00BB79FA">
              <w:rPr>
                <w:rFonts w:ascii="Arial" w:eastAsia="Times New Roman" w:hAnsi="Arial" w:cs="Arial"/>
                <w:color w:val="000000"/>
                <w:kern w:val="0"/>
                <w:lang w:eastAsia="en-GB"/>
                <w14:ligatures w14:val="none"/>
              </w:rPr>
              <w:t>1</w:t>
            </w:r>
          </w:p>
        </w:tc>
        <w:tc>
          <w:tcPr>
            <w:tcW w:w="7435" w:type="dxa"/>
            <w:tcBorders>
              <w:top w:val="nil"/>
              <w:left w:val="nil"/>
              <w:bottom w:val="single" w:sz="4" w:space="0" w:color="auto"/>
              <w:right w:val="single" w:sz="4" w:space="0" w:color="auto"/>
            </w:tcBorders>
            <w:shd w:val="clear" w:color="auto" w:fill="FFFFFF" w:themeFill="background1"/>
            <w:noWrap/>
            <w:hideMark/>
          </w:tcPr>
          <w:p w14:paraId="3E8DCE1E" w14:textId="77777777" w:rsidR="00C66014" w:rsidRPr="00BB79FA" w:rsidRDefault="00C66014">
            <w:pPr>
              <w:spacing w:after="0" w:line="240" w:lineRule="auto"/>
              <w:rPr>
                <w:rFonts w:ascii="Arial" w:eastAsia="Arial" w:hAnsi="Arial" w:cs="Arial"/>
                <w:i/>
                <w:color w:val="000000" w:themeColor="text1"/>
                <w:u w:val="single"/>
                <w:lang w:eastAsia="en-GB"/>
              </w:rPr>
            </w:pPr>
            <w:r w:rsidRPr="00BB79FA">
              <w:rPr>
                <w:rFonts w:ascii="Arial" w:eastAsia="Times New Roman" w:hAnsi="Arial" w:cs="Arial"/>
                <w:i/>
                <w:iCs/>
                <w:color w:val="000000"/>
                <w:kern w:val="0"/>
                <w:lang w:eastAsia="en-GB"/>
                <w14:ligatures w14:val="none"/>
              </w:rPr>
              <w:t xml:space="preserve"> </w:t>
            </w:r>
            <w:r w:rsidRPr="00BB79FA">
              <w:rPr>
                <w:rFonts w:ascii="Arial" w:eastAsia="Arial" w:hAnsi="Arial" w:cs="Arial"/>
                <w:i/>
                <w:color w:val="000000"/>
                <w:kern w:val="0"/>
                <w:u w:val="single"/>
                <w:lang w:eastAsia="en-GB"/>
                <w14:ligatures w14:val="none"/>
              </w:rPr>
              <w:t xml:space="preserve">     of which: assigned a RW of 80% </w:t>
            </w:r>
          </w:p>
          <w:p w14:paraId="61291D0D" w14:textId="77777777" w:rsidR="00C66014" w:rsidRPr="00BB79FA" w:rsidRDefault="00C66014">
            <w:pPr>
              <w:spacing w:after="0" w:line="240" w:lineRule="auto"/>
              <w:rPr>
                <w:rFonts w:ascii="Arial" w:eastAsia="Arial" w:hAnsi="Arial" w:cs="Arial"/>
                <w:i/>
                <w:color w:val="000000" w:themeColor="text1"/>
                <w:lang w:eastAsia="en-GB"/>
              </w:rPr>
            </w:pPr>
          </w:p>
          <w:p w14:paraId="0C9DA600" w14:textId="77777777" w:rsidR="003761EF" w:rsidRPr="00BB79FA" w:rsidRDefault="003761EF" w:rsidP="003761EF">
            <w:pPr>
              <w:spacing w:after="0" w:line="240" w:lineRule="auto"/>
              <w:rPr>
                <w:rFonts w:ascii="Arial" w:eastAsia="Arial" w:hAnsi="Arial" w:cs="Arial"/>
                <w:i/>
                <w:iCs/>
                <w:color w:val="000000" w:themeColor="text1"/>
                <w:lang w:eastAsia="en-GB"/>
              </w:rPr>
            </w:pPr>
            <w:r w:rsidRPr="00BB79FA">
              <w:rPr>
                <w:rFonts w:ascii="Arial" w:eastAsia="Arial" w:hAnsi="Arial" w:cs="Arial"/>
                <w:i/>
                <w:iCs/>
                <w:color w:val="000000" w:themeColor="text1"/>
                <w:lang w:eastAsia="en-GB"/>
              </w:rPr>
              <w:t xml:space="preserve">Only project finance exposures that are </w:t>
            </w:r>
            <w:r w:rsidRPr="00BB79FA">
              <w:rPr>
                <w:rFonts w:ascii="Arial" w:eastAsia="Arial" w:hAnsi="Arial" w:cs="Arial"/>
                <w:i/>
                <w:iCs/>
              </w:rPr>
              <w:t xml:space="preserve">assigned a risk weight of 80% under Article 122B(4) of the Credit Risk: Standardised Approach (CRR) Part </w:t>
            </w:r>
            <w:r w:rsidRPr="00BB79FA">
              <w:rPr>
                <w:rFonts w:ascii="Arial" w:eastAsia="Arial" w:hAnsi="Arial" w:cs="Arial"/>
                <w:i/>
                <w:iCs/>
                <w:color w:val="000000" w:themeColor="text1"/>
                <w:lang w:eastAsia="en-GB"/>
              </w:rPr>
              <w:t xml:space="preserve">shall be reported here. </w:t>
            </w:r>
          </w:p>
          <w:p w14:paraId="723357D3" w14:textId="77777777" w:rsidR="00C66014" w:rsidRPr="00BB79FA" w:rsidRDefault="00C66014">
            <w:pPr>
              <w:spacing w:after="0" w:line="240" w:lineRule="auto"/>
              <w:rPr>
                <w:rFonts w:ascii="Arial" w:eastAsia="Times New Roman" w:hAnsi="Arial" w:cs="Arial"/>
                <w:i/>
                <w:iCs/>
                <w:color w:val="000000"/>
                <w:kern w:val="0"/>
                <w:lang w:eastAsia="en-GB"/>
                <w14:ligatures w14:val="none"/>
              </w:rPr>
            </w:pPr>
          </w:p>
        </w:tc>
      </w:tr>
      <w:tr w:rsidR="00C66014" w:rsidRPr="00BB79FA" w14:paraId="3C798F2F" w14:textId="77777777" w:rsidTr="00481F75">
        <w:trPr>
          <w:trHeight w:val="276"/>
        </w:trPr>
        <w:tc>
          <w:tcPr>
            <w:tcW w:w="929" w:type="dxa"/>
            <w:tcBorders>
              <w:top w:val="nil"/>
              <w:left w:val="single" w:sz="4" w:space="0" w:color="auto"/>
              <w:bottom w:val="single" w:sz="4" w:space="0" w:color="auto"/>
              <w:right w:val="single" w:sz="4" w:space="0" w:color="auto"/>
            </w:tcBorders>
            <w:shd w:val="clear" w:color="auto" w:fill="FFFFFF" w:themeFill="background1"/>
            <w:noWrap/>
            <w:hideMark/>
          </w:tcPr>
          <w:p w14:paraId="104547A4" w14:textId="2F9590F4" w:rsidR="00C66014" w:rsidRPr="00BB79FA" w:rsidRDefault="00C66014">
            <w:pPr>
              <w:spacing w:after="0" w:line="240" w:lineRule="auto"/>
              <w:rPr>
                <w:rFonts w:ascii="Arial" w:eastAsia="Times New Roman" w:hAnsi="Arial" w:cs="Arial"/>
                <w:color w:val="000000"/>
                <w:kern w:val="0"/>
                <w:lang w:eastAsia="en-GB"/>
                <w14:ligatures w14:val="none"/>
              </w:rPr>
            </w:pPr>
            <w:r w:rsidRPr="00BB79FA">
              <w:rPr>
                <w:rFonts w:ascii="Arial" w:eastAsia="Times New Roman" w:hAnsi="Arial" w:cs="Arial"/>
                <w:color w:val="000000"/>
                <w:kern w:val="0"/>
                <w:lang w:eastAsia="en-GB"/>
                <w14:ligatures w14:val="none"/>
              </w:rPr>
              <w:t>2</w:t>
            </w:r>
            <w:r w:rsidR="004F4129" w:rsidRPr="00BB79FA">
              <w:rPr>
                <w:rFonts w:ascii="Arial" w:eastAsia="Times New Roman" w:hAnsi="Arial" w:cs="Arial"/>
                <w:color w:val="000000"/>
                <w:kern w:val="0"/>
                <w:lang w:eastAsia="en-GB"/>
                <w14:ligatures w14:val="none"/>
              </w:rPr>
              <w:t>5</w:t>
            </w:r>
            <w:r w:rsidRPr="00BB79FA">
              <w:rPr>
                <w:rFonts w:ascii="Arial" w:eastAsia="Times New Roman" w:hAnsi="Arial" w:cs="Arial"/>
                <w:color w:val="000000"/>
                <w:kern w:val="0"/>
                <w:lang w:eastAsia="en-GB"/>
                <w14:ligatures w14:val="none"/>
              </w:rPr>
              <w:t>2</w:t>
            </w:r>
          </w:p>
        </w:tc>
        <w:tc>
          <w:tcPr>
            <w:tcW w:w="7435" w:type="dxa"/>
            <w:tcBorders>
              <w:top w:val="nil"/>
              <w:left w:val="nil"/>
              <w:bottom w:val="single" w:sz="4" w:space="0" w:color="auto"/>
              <w:right w:val="single" w:sz="4" w:space="0" w:color="auto"/>
            </w:tcBorders>
            <w:shd w:val="clear" w:color="auto" w:fill="FFFFFF" w:themeFill="background1"/>
            <w:noWrap/>
            <w:hideMark/>
          </w:tcPr>
          <w:p w14:paraId="4CDA24B6" w14:textId="77777777" w:rsidR="00C66014" w:rsidRPr="00BB79FA" w:rsidRDefault="00C66014">
            <w:pPr>
              <w:spacing w:after="0" w:line="240" w:lineRule="auto"/>
              <w:rPr>
                <w:rFonts w:ascii="Arial" w:eastAsia="Arial" w:hAnsi="Arial" w:cs="Arial"/>
                <w:i/>
                <w:color w:val="000000" w:themeColor="text1"/>
                <w:u w:val="single"/>
                <w:lang w:eastAsia="en-GB"/>
              </w:rPr>
            </w:pPr>
            <w:r w:rsidRPr="00BB79FA">
              <w:rPr>
                <w:rFonts w:ascii="Arial" w:eastAsia="Arial" w:hAnsi="Arial" w:cs="Arial"/>
                <w:i/>
                <w:color w:val="000000"/>
                <w:kern w:val="0"/>
                <w:u w:val="single"/>
                <w:lang w:eastAsia="en-GB"/>
                <w14:ligatures w14:val="none"/>
              </w:rPr>
              <w:t xml:space="preserve">      of which: assigned a RW of 100% </w:t>
            </w:r>
          </w:p>
          <w:p w14:paraId="67BF348E" w14:textId="77777777" w:rsidR="00C66014" w:rsidRPr="00BB79FA" w:rsidRDefault="00C66014">
            <w:pPr>
              <w:spacing w:after="0" w:line="240" w:lineRule="auto"/>
              <w:rPr>
                <w:rFonts w:ascii="Arial" w:eastAsia="Arial" w:hAnsi="Arial" w:cs="Arial"/>
                <w:i/>
                <w:color w:val="000000" w:themeColor="text1"/>
                <w:lang w:eastAsia="en-GB"/>
              </w:rPr>
            </w:pPr>
          </w:p>
          <w:p w14:paraId="706B1560" w14:textId="77777777" w:rsidR="003761EF" w:rsidRPr="00BB79FA" w:rsidRDefault="003761EF" w:rsidP="003761EF">
            <w:pPr>
              <w:spacing w:after="0" w:line="240" w:lineRule="auto"/>
              <w:rPr>
                <w:rFonts w:ascii="Arial" w:eastAsia="Arial" w:hAnsi="Arial" w:cs="Arial"/>
                <w:i/>
                <w:iCs/>
                <w:color w:val="000000" w:themeColor="text1"/>
                <w:lang w:eastAsia="en-GB"/>
              </w:rPr>
            </w:pPr>
            <w:r w:rsidRPr="00BB79FA">
              <w:rPr>
                <w:rFonts w:ascii="Arial" w:eastAsia="Arial" w:hAnsi="Arial" w:cs="Arial"/>
                <w:i/>
                <w:iCs/>
                <w:color w:val="000000" w:themeColor="text1"/>
                <w:lang w:eastAsia="en-GB"/>
              </w:rPr>
              <w:t xml:space="preserve">Only project finance exposures that are </w:t>
            </w:r>
            <w:r w:rsidRPr="00BB79FA">
              <w:rPr>
                <w:rFonts w:ascii="Arial" w:eastAsia="Arial" w:hAnsi="Arial" w:cs="Arial"/>
                <w:i/>
                <w:iCs/>
              </w:rPr>
              <w:t xml:space="preserve">assigned a risk weight of 100% under Article 122B(2)(c) of the Credit Risk: Standardised Approach (CRR) Part </w:t>
            </w:r>
            <w:r w:rsidRPr="00BB79FA">
              <w:rPr>
                <w:rFonts w:ascii="Arial" w:eastAsia="Arial" w:hAnsi="Arial" w:cs="Arial"/>
                <w:i/>
                <w:iCs/>
                <w:color w:val="000000" w:themeColor="text1"/>
                <w:lang w:eastAsia="en-GB"/>
              </w:rPr>
              <w:t>shall be reported here.</w:t>
            </w:r>
          </w:p>
          <w:p w14:paraId="7F3557E3" w14:textId="77777777" w:rsidR="00C66014" w:rsidRPr="00BB79FA" w:rsidRDefault="00C66014">
            <w:pPr>
              <w:spacing w:after="0" w:line="240" w:lineRule="auto"/>
              <w:rPr>
                <w:rFonts w:ascii="Arial" w:eastAsia="Times New Roman" w:hAnsi="Arial" w:cs="Arial"/>
                <w:i/>
                <w:iCs/>
                <w:color w:val="000000"/>
                <w:kern w:val="0"/>
                <w:lang w:eastAsia="en-GB"/>
                <w14:ligatures w14:val="none"/>
              </w:rPr>
            </w:pPr>
          </w:p>
        </w:tc>
      </w:tr>
      <w:tr w:rsidR="00C66014" w:rsidRPr="00BB79FA" w14:paraId="4C865810" w14:textId="77777777" w:rsidTr="00481F75">
        <w:trPr>
          <w:trHeight w:val="276"/>
        </w:trPr>
        <w:tc>
          <w:tcPr>
            <w:tcW w:w="929" w:type="dxa"/>
            <w:tcBorders>
              <w:top w:val="nil"/>
              <w:left w:val="single" w:sz="4" w:space="0" w:color="auto"/>
              <w:bottom w:val="single" w:sz="4" w:space="0" w:color="auto"/>
              <w:right w:val="single" w:sz="4" w:space="0" w:color="auto"/>
            </w:tcBorders>
            <w:shd w:val="clear" w:color="auto" w:fill="FFFFFF" w:themeFill="background1"/>
            <w:noWrap/>
            <w:hideMark/>
          </w:tcPr>
          <w:p w14:paraId="1E76D152" w14:textId="4156AB85" w:rsidR="00C66014" w:rsidRPr="00BB79FA" w:rsidRDefault="00C66014">
            <w:pPr>
              <w:spacing w:after="0" w:line="240" w:lineRule="auto"/>
              <w:rPr>
                <w:rFonts w:ascii="Arial" w:eastAsia="Times New Roman" w:hAnsi="Arial" w:cs="Arial"/>
                <w:color w:val="000000"/>
                <w:kern w:val="0"/>
                <w:lang w:eastAsia="en-GB"/>
                <w14:ligatures w14:val="none"/>
              </w:rPr>
            </w:pPr>
            <w:r w:rsidRPr="00BB79FA">
              <w:rPr>
                <w:rFonts w:ascii="Arial" w:eastAsia="Times New Roman" w:hAnsi="Arial" w:cs="Arial"/>
                <w:color w:val="000000"/>
                <w:kern w:val="0"/>
                <w:lang w:eastAsia="en-GB"/>
                <w14:ligatures w14:val="none"/>
              </w:rPr>
              <w:t>2</w:t>
            </w:r>
            <w:r w:rsidR="004F4129" w:rsidRPr="00BB79FA">
              <w:rPr>
                <w:rFonts w:ascii="Arial" w:eastAsia="Times New Roman" w:hAnsi="Arial" w:cs="Arial"/>
                <w:color w:val="000000"/>
                <w:kern w:val="0"/>
                <w:lang w:eastAsia="en-GB"/>
                <w14:ligatures w14:val="none"/>
              </w:rPr>
              <w:t>5</w:t>
            </w:r>
            <w:r w:rsidRPr="00BB79FA">
              <w:rPr>
                <w:rFonts w:ascii="Arial" w:eastAsia="Times New Roman" w:hAnsi="Arial" w:cs="Arial"/>
                <w:color w:val="000000"/>
                <w:kern w:val="0"/>
                <w:lang w:eastAsia="en-GB"/>
                <w14:ligatures w14:val="none"/>
              </w:rPr>
              <w:t>3</w:t>
            </w:r>
          </w:p>
        </w:tc>
        <w:tc>
          <w:tcPr>
            <w:tcW w:w="7435" w:type="dxa"/>
            <w:tcBorders>
              <w:top w:val="nil"/>
              <w:left w:val="nil"/>
              <w:bottom w:val="single" w:sz="4" w:space="0" w:color="auto"/>
              <w:right w:val="single" w:sz="4" w:space="0" w:color="auto"/>
            </w:tcBorders>
            <w:shd w:val="clear" w:color="auto" w:fill="FFFFFF" w:themeFill="background1"/>
            <w:noWrap/>
            <w:hideMark/>
          </w:tcPr>
          <w:p w14:paraId="4F49090F" w14:textId="77777777" w:rsidR="00C66014" w:rsidRPr="00BB79FA" w:rsidRDefault="00C66014">
            <w:pPr>
              <w:spacing w:after="0" w:line="240" w:lineRule="auto"/>
              <w:rPr>
                <w:rFonts w:ascii="Arial" w:eastAsia="Arial" w:hAnsi="Arial" w:cs="Arial"/>
                <w:i/>
                <w:color w:val="000000" w:themeColor="text1"/>
                <w:u w:val="single"/>
                <w:lang w:eastAsia="en-GB"/>
              </w:rPr>
            </w:pPr>
            <w:r w:rsidRPr="00BB79FA">
              <w:rPr>
                <w:rFonts w:ascii="Arial" w:eastAsia="Arial" w:hAnsi="Arial" w:cs="Arial"/>
                <w:i/>
                <w:color w:val="000000"/>
                <w:kern w:val="0"/>
                <w:u w:val="single"/>
                <w:lang w:eastAsia="en-GB"/>
                <w14:ligatures w14:val="none"/>
              </w:rPr>
              <w:t xml:space="preserve">      of which: assigned a RW of 130% </w:t>
            </w:r>
          </w:p>
          <w:p w14:paraId="3FED6F39" w14:textId="77777777" w:rsidR="00C66014" w:rsidRPr="00BB79FA" w:rsidRDefault="00C66014">
            <w:pPr>
              <w:spacing w:after="0" w:line="240" w:lineRule="auto"/>
              <w:rPr>
                <w:rFonts w:ascii="Arial" w:eastAsia="Arial" w:hAnsi="Arial" w:cs="Arial"/>
                <w:i/>
                <w:color w:val="000000" w:themeColor="text1"/>
                <w:lang w:eastAsia="en-GB"/>
              </w:rPr>
            </w:pPr>
          </w:p>
          <w:p w14:paraId="6FB3DD65" w14:textId="77777777" w:rsidR="003761EF" w:rsidRPr="00BB79FA" w:rsidRDefault="003761EF" w:rsidP="003761EF">
            <w:pPr>
              <w:spacing w:after="0" w:line="240" w:lineRule="auto"/>
              <w:rPr>
                <w:rFonts w:ascii="Arial" w:eastAsia="Arial" w:hAnsi="Arial" w:cs="Arial"/>
                <w:i/>
              </w:rPr>
            </w:pPr>
            <w:r w:rsidRPr="00BB79FA">
              <w:rPr>
                <w:rFonts w:ascii="Arial" w:eastAsia="Arial" w:hAnsi="Arial" w:cs="Arial"/>
                <w:i/>
                <w:iCs/>
                <w:color w:val="000000" w:themeColor="text1"/>
                <w:lang w:eastAsia="en-GB"/>
              </w:rPr>
              <w:t xml:space="preserve">Only project finance exposures that are </w:t>
            </w:r>
            <w:r w:rsidRPr="00BB79FA">
              <w:rPr>
                <w:rFonts w:ascii="Arial" w:eastAsia="Arial" w:hAnsi="Arial" w:cs="Arial"/>
                <w:i/>
                <w:iCs/>
              </w:rPr>
              <w:t xml:space="preserve">assigned a risk weight of 130% under Article 122B(2)(c) of the Credit Risk: Standardised Approach (CRR) Part </w:t>
            </w:r>
            <w:r w:rsidRPr="00BB79FA">
              <w:rPr>
                <w:rFonts w:ascii="Arial" w:eastAsia="Arial" w:hAnsi="Arial" w:cs="Arial"/>
                <w:i/>
                <w:iCs/>
                <w:color w:val="000000" w:themeColor="text1"/>
                <w:lang w:eastAsia="en-GB"/>
              </w:rPr>
              <w:t>shall be reported here.</w:t>
            </w:r>
          </w:p>
          <w:p w14:paraId="36E00E03" w14:textId="77777777" w:rsidR="00C66014" w:rsidRPr="00BB79FA" w:rsidRDefault="00C66014">
            <w:pPr>
              <w:spacing w:after="0" w:line="240" w:lineRule="auto"/>
              <w:rPr>
                <w:rFonts w:ascii="Arial" w:eastAsia="Times New Roman" w:hAnsi="Arial" w:cs="Arial"/>
                <w:i/>
                <w:iCs/>
                <w:color w:val="000000"/>
                <w:kern w:val="0"/>
                <w:lang w:eastAsia="en-GB"/>
                <w14:ligatures w14:val="none"/>
              </w:rPr>
            </w:pPr>
          </w:p>
        </w:tc>
      </w:tr>
      <w:tr w:rsidR="00C66014" w:rsidRPr="00BB79FA" w14:paraId="4C996289" w14:textId="77777777" w:rsidTr="00481F75">
        <w:trPr>
          <w:trHeight w:val="276"/>
        </w:trPr>
        <w:tc>
          <w:tcPr>
            <w:tcW w:w="929" w:type="dxa"/>
            <w:tcBorders>
              <w:top w:val="nil"/>
              <w:left w:val="single" w:sz="4" w:space="0" w:color="auto"/>
              <w:bottom w:val="single" w:sz="4" w:space="0" w:color="auto"/>
              <w:right w:val="single" w:sz="4" w:space="0" w:color="auto"/>
            </w:tcBorders>
            <w:shd w:val="clear" w:color="auto" w:fill="FFFFFF" w:themeFill="background1"/>
            <w:noWrap/>
            <w:hideMark/>
          </w:tcPr>
          <w:p w14:paraId="58ED48E2" w14:textId="403FCD0A" w:rsidR="00C66014" w:rsidRPr="00BB79FA" w:rsidRDefault="00C66014">
            <w:pPr>
              <w:spacing w:after="0" w:line="240" w:lineRule="auto"/>
              <w:rPr>
                <w:rFonts w:ascii="Arial" w:eastAsia="Times New Roman" w:hAnsi="Arial" w:cs="Arial"/>
                <w:color w:val="000000"/>
                <w:kern w:val="0"/>
                <w:lang w:eastAsia="en-GB"/>
                <w14:ligatures w14:val="none"/>
              </w:rPr>
            </w:pPr>
            <w:r w:rsidRPr="00BB79FA">
              <w:rPr>
                <w:rFonts w:ascii="Arial" w:eastAsia="Times New Roman" w:hAnsi="Arial" w:cs="Arial"/>
                <w:color w:val="000000"/>
                <w:kern w:val="0"/>
                <w:lang w:eastAsia="en-GB"/>
                <w14:ligatures w14:val="none"/>
              </w:rPr>
              <w:t>2</w:t>
            </w:r>
            <w:r w:rsidR="004F4129" w:rsidRPr="00BB79FA">
              <w:rPr>
                <w:rFonts w:ascii="Arial" w:eastAsia="Times New Roman" w:hAnsi="Arial" w:cs="Arial"/>
                <w:color w:val="000000"/>
                <w:kern w:val="0"/>
                <w:lang w:eastAsia="en-GB"/>
                <w14:ligatures w14:val="none"/>
              </w:rPr>
              <w:t>6</w:t>
            </w:r>
            <w:r w:rsidRPr="00BB79FA">
              <w:rPr>
                <w:rFonts w:ascii="Arial" w:eastAsia="Times New Roman" w:hAnsi="Arial" w:cs="Arial"/>
                <w:color w:val="000000"/>
                <w:kern w:val="0"/>
                <w:lang w:eastAsia="en-GB"/>
                <w14:ligatures w14:val="none"/>
              </w:rPr>
              <w:t>0</w:t>
            </w:r>
          </w:p>
        </w:tc>
        <w:tc>
          <w:tcPr>
            <w:tcW w:w="7435" w:type="dxa"/>
            <w:tcBorders>
              <w:top w:val="nil"/>
              <w:left w:val="nil"/>
              <w:bottom w:val="single" w:sz="4" w:space="0" w:color="auto"/>
              <w:right w:val="single" w:sz="4" w:space="0" w:color="auto"/>
            </w:tcBorders>
            <w:shd w:val="clear" w:color="auto" w:fill="FFFFFF" w:themeFill="background1"/>
            <w:noWrap/>
            <w:hideMark/>
          </w:tcPr>
          <w:p w14:paraId="2211F599" w14:textId="77777777" w:rsidR="00C66014" w:rsidRPr="00BB79FA" w:rsidRDefault="00C66014">
            <w:pPr>
              <w:spacing w:after="0" w:line="240" w:lineRule="auto"/>
              <w:rPr>
                <w:rFonts w:ascii="Arial" w:eastAsia="Arial" w:hAnsi="Arial" w:cs="Arial"/>
                <w:b/>
                <w:i/>
                <w:color w:val="000000" w:themeColor="text1"/>
                <w:lang w:eastAsia="en-GB"/>
              </w:rPr>
            </w:pPr>
            <w:r w:rsidRPr="00BB79FA">
              <w:rPr>
                <w:rFonts w:ascii="Arial" w:eastAsia="Arial" w:hAnsi="Arial" w:cs="Arial"/>
                <w:b/>
                <w:i/>
                <w:color w:val="000000"/>
                <w:kern w:val="0"/>
                <w:u w:val="single"/>
                <w:lang w:eastAsia="en-GB"/>
                <w14:ligatures w14:val="none"/>
              </w:rPr>
              <w:t xml:space="preserve">   of which: project finance exposures (rated)</w:t>
            </w:r>
          </w:p>
          <w:p w14:paraId="2607ACD9" w14:textId="77777777" w:rsidR="00C66014" w:rsidRPr="00BB79FA" w:rsidRDefault="00C66014">
            <w:pPr>
              <w:spacing w:after="0" w:line="240" w:lineRule="auto"/>
              <w:rPr>
                <w:rFonts w:ascii="Arial" w:eastAsia="Arial" w:hAnsi="Arial" w:cs="Arial"/>
                <w:b/>
                <w:i/>
                <w:color w:val="000000" w:themeColor="text1"/>
                <w:u w:val="single"/>
                <w:lang w:eastAsia="en-GB"/>
              </w:rPr>
            </w:pPr>
          </w:p>
          <w:p w14:paraId="55F9B63F" w14:textId="1EC6B631" w:rsidR="003761EF" w:rsidRPr="00BB79FA" w:rsidRDefault="003761EF" w:rsidP="003761EF">
            <w:pPr>
              <w:spacing w:after="0" w:line="240" w:lineRule="auto"/>
              <w:rPr>
                <w:rFonts w:ascii="Arial" w:eastAsia="Arial" w:hAnsi="Arial" w:cs="Arial"/>
                <w:i/>
                <w:iCs/>
                <w:color w:val="000000" w:themeColor="text1"/>
                <w:lang w:eastAsia="en-GB"/>
              </w:rPr>
            </w:pPr>
            <w:r w:rsidRPr="00BB79FA">
              <w:rPr>
                <w:rFonts w:ascii="Arial" w:eastAsia="Arial" w:hAnsi="Arial" w:cs="Arial"/>
                <w:i/>
                <w:iCs/>
                <w:color w:val="000000" w:themeColor="text1"/>
                <w:lang w:eastAsia="en-GB"/>
              </w:rPr>
              <w:t>Sub-total row of following rows: 2</w:t>
            </w:r>
            <w:r w:rsidR="004F4129" w:rsidRPr="00BB79FA">
              <w:rPr>
                <w:rFonts w:ascii="Arial" w:eastAsia="Arial" w:hAnsi="Arial" w:cs="Arial"/>
                <w:i/>
                <w:iCs/>
                <w:color w:val="000000" w:themeColor="text1"/>
                <w:lang w:eastAsia="en-GB"/>
              </w:rPr>
              <w:t>6</w:t>
            </w:r>
            <w:r w:rsidRPr="00BB79FA">
              <w:rPr>
                <w:rFonts w:ascii="Arial" w:eastAsia="Arial" w:hAnsi="Arial" w:cs="Arial"/>
                <w:i/>
                <w:iCs/>
                <w:color w:val="000000" w:themeColor="text1"/>
                <w:lang w:eastAsia="en-GB"/>
              </w:rPr>
              <w:t>1, 2</w:t>
            </w:r>
            <w:r w:rsidR="004F4129" w:rsidRPr="00BB79FA">
              <w:rPr>
                <w:rFonts w:ascii="Arial" w:eastAsia="Arial" w:hAnsi="Arial" w:cs="Arial"/>
                <w:i/>
                <w:iCs/>
                <w:color w:val="000000" w:themeColor="text1"/>
                <w:lang w:eastAsia="en-GB"/>
              </w:rPr>
              <w:t>6</w:t>
            </w:r>
            <w:r w:rsidRPr="00BB79FA">
              <w:rPr>
                <w:rFonts w:ascii="Arial" w:eastAsia="Arial" w:hAnsi="Arial" w:cs="Arial"/>
                <w:i/>
                <w:iCs/>
                <w:color w:val="000000" w:themeColor="text1"/>
                <w:lang w:eastAsia="en-GB"/>
              </w:rPr>
              <w:t>2, 2</w:t>
            </w:r>
            <w:r w:rsidR="004F4129" w:rsidRPr="00BB79FA">
              <w:rPr>
                <w:rFonts w:ascii="Arial" w:eastAsia="Arial" w:hAnsi="Arial" w:cs="Arial"/>
                <w:i/>
                <w:iCs/>
                <w:color w:val="000000" w:themeColor="text1"/>
                <w:lang w:eastAsia="en-GB"/>
              </w:rPr>
              <w:t>6</w:t>
            </w:r>
            <w:r w:rsidRPr="00BB79FA">
              <w:rPr>
                <w:rFonts w:ascii="Arial" w:eastAsia="Arial" w:hAnsi="Arial" w:cs="Arial"/>
                <w:i/>
                <w:iCs/>
                <w:color w:val="000000" w:themeColor="text1"/>
                <w:lang w:eastAsia="en-GB"/>
              </w:rPr>
              <w:t>3; 2</w:t>
            </w:r>
            <w:r w:rsidR="004F4129" w:rsidRPr="00BB79FA">
              <w:rPr>
                <w:rFonts w:ascii="Arial" w:eastAsia="Arial" w:hAnsi="Arial" w:cs="Arial"/>
                <w:i/>
                <w:iCs/>
                <w:color w:val="000000" w:themeColor="text1"/>
                <w:lang w:eastAsia="en-GB"/>
              </w:rPr>
              <w:t>6</w:t>
            </w:r>
            <w:r w:rsidRPr="00BB79FA">
              <w:rPr>
                <w:rFonts w:ascii="Arial" w:eastAsia="Arial" w:hAnsi="Arial" w:cs="Arial"/>
                <w:i/>
                <w:iCs/>
                <w:color w:val="000000" w:themeColor="text1"/>
                <w:lang w:eastAsia="en-GB"/>
              </w:rPr>
              <w:t>4; and 2</w:t>
            </w:r>
            <w:r w:rsidR="004F4129" w:rsidRPr="00BB79FA">
              <w:rPr>
                <w:rFonts w:ascii="Arial" w:eastAsia="Arial" w:hAnsi="Arial" w:cs="Arial"/>
                <w:i/>
                <w:iCs/>
                <w:color w:val="000000" w:themeColor="text1"/>
                <w:lang w:eastAsia="en-GB"/>
              </w:rPr>
              <w:t>6</w:t>
            </w:r>
            <w:r w:rsidRPr="00BB79FA">
              <w:rPr>
                <w:rFonts w:ascii="Arial" w:eastAsia="Arial" w:hAnsi="Arial" w:cs="Arial"/>
                <w:i/>
                <w:iCs/>
                <w:color w:val="000000" w:themeColor="text1"/>
                <w:lang w:eastAsia="en-GB"/>
              </w:rPr>
              <w:t>5.</w:t>
            </w:r>
          </w:p>
          <w:p w14:paraId="67D16371" w14:textId="77777777" w:rsidR="003761EF" w:rsidRPr="00BB79FA" w:rsidRDefault="003761EF" w:rsidP="003761EF">
            <w:pPr>
              <w:spacing w:after="0" w:line="240" w:lineRule="auto"/>
              <w:rPr>
                <w:rFonts w:ascii="Arial" w:eastAsia="Arial" w:hAnsi="Arial" w:cs="Arial"/>
                <w:b/>
                <w:bCs/>
                <w:i/>
                <w:iCs/>
                <w:color w:val="000000" w:themeColor="text1"/>
                <w:lang w:eastAsia="en-GB"/>
              </w:rPr>
            </w:pPr>
          </w:p>
          <w:p w14:paraId="66E0D265" w14:textId="77777777" w:rsidR="003761EF" w:rsidRPr="00BB79FA" w:rsidRDefault="003761EF" w:rsidP="003761EF">
            <w:pPr>
              <w:spacing w:after="0" w:line="240" w:lineRule="auto"/>
              <w:rPr>
                <w:rFonts w:ascii="Arial" w:eastAsia="Arial" w:hAnsi="Arial" w:cs="Arial"/>
                <w:i/>
                <w:iCs/>
              </w:rPr>
            </w:pPr>
            <w:r w:rsidRPr="00BB79FA">
              <w:rPr>
                <w:rFonts w:ascii="Arial" w:eastAsia="Arial" w:hAnsi="Arial" w:cs="Arial"/>
                <w:i/>
                <w:iCs/>
                <w:color w:val="000000" w:themeColor="text1"/>
                <w:lang w:eastAsia="en-GB"/>
              </w:rPr>
              <w:t xml:space="preserve">Includes only project finance exposures that are </w:t>
            </w:r>
            <w:r w:rsidRPr="00BB79FA">
              <w:rPr>
                <w:rFonts w:ascii="Arial" w:eastAsia="Arial" w:hAnsi="Arial" w:cs="Arial"/>
                <w:i/>
                <w:iCs/>
              </w:rPr>
              <w:t>assigned the applicable risk weights under Article 122B(1) of the Credit Risk: Standardised Approach (CRR) Part.</w:t>
            </w:r>
          </w:p>
          <w:p w14:paraId="316CFF26" w14:textId="77777777" w:rsidR="008821BF" w:rsidRPr="00BB79FA" w:rsidRDefault="008821BF" w:rsidP="003761EF">
            <w:pPr>
              <w:spacing w:after="0" w:line="240" w:lineRule="auto"/>
              <w:rPr>
                <w:rFonts w:ascii="Arial" w:eastAsia="Arial" w:hAnsi="Arial" w:cs="Arial"/>
                <w:i/>
                <w:iCs/>
              </w:rPr>
            </w:pPr>
          </w:p>
          <w:p w14:paraId="39ABBDFE" w14:textId="125B90A0" w:rsidR="008821BF" w:rsidRPr="00BB79FA" w:rsidRDefault="008821BF" w:rsidP="003761EF">
            <w:pPr>
              <w:spacing w:after="0" w:line="240" w:lineRule="auto"/>
              <w:rPr>
                <w:rFonts w:ascii="Arial" w:eastAsia="Arial" w:hAnsi="Arial" w:cs="Arial"/>
                <w:i/>
                <w:color w:val="000000" w:themeColor="text1"/>
                <w:lang w:eastAsia="en-GB"/>
              </w:rPr>
            </w:pPr>
            <w:r w:rsidRPr="00BB79FA">
              <w:rPr>
                <w:rFonts w:ascii="Arial" w:eastAsia="Arial" w:hAnsi="Arial" w:cs="Arial"/>
                <w:i/>
                <w:color w:val="000000" w:themeColor="text1"/>
                <w:lang w:eastAsia="en-GB"/>
              </w:rPr>
              <w:t>This row will be calculated by a formula, firms do not need to report here.</w:t>
            </w:r>
          </w:p>
          <w:p w14:paraId="260C9ABF" w14:textId="77777777" w:rsidR="00C66014" w:rsidRPr="00BB79FA" w:rsidRDefault="00C66014">
            <w:pPr>
              <w:spacing w:after="0" w:line="240" w:lineRule="auto"/>
              <w:rPr>
                <w:rFonts w:ascii="Arial" w:eastAsia="Times New Roman" w:hAnsi="Arial" w:cs="Arial"/>
                <w:b/>
                <w:bCs/>
                <w:i/>
                <w:iCs/>
                <w:color w:val="000000"/>
                <w:kern w:val="0"/>
                <w:lang w:eastAsia="en-GB"/>
                <w14:ligatures w14:val="none"/>
              </w:rPr>
            </w:pPr>
          </w:p>
        </w:tc>
      </w:tr>
      <w:tr w:rsidR="00C66014" w:rsidRPr="00BB79FA" w14:paraId="2023B5E5" w14:textId="77777777" w:rsidTr="00481F75">
        <w:trPr>
          <w:trHeight w:val="276"/>
        </w:trPr>
        <w:tc>
          <w:tcPr>
            <w:tcW w:w="929" w:type="dxa"/>
            <w:tcBorders>
              <w:top w:val="nil"/>
              <w:left w:val="single" w:sz="4" w:space="0" w:color="auto"/>
              <w:bottom w:val="single" w:sz="4" w:space="0" w:color="auto"/>
              <w:right w:val="single" w:sz="4" w:space="0" w:color="auto"/>
            </w:tcBorders>
            <w:shd w:val="clear" w:color="auto" w:fill="FFFFFF" w:themeFill="background1"/>
            <w:noWrap/>
            <w:hideMark/>
          </w:tcPr>
          <w:p w14:paraId="3365F0BF" w14:textId="369C99FB" w:rsidR="00C66014" w:rsidRPr="00BB79FA" w:rsidRDefault="00C66014">
            <w:pPr>
              <w:spacing w:after="0" w:line="240" w:lineRule="auto"/>
              <w:rPr>
                <w:rFonts w:ascii="Arial" w:eastAsia="Times New Roman" w:hAnsi="Arial" w:cs="Arial"/>
                <w:color w:val="000000"/>
                <w:kern w:val="0"/>
                <w:lang w:eastAsia="en-GB"/>
                <w14:ligatures w14:val="none"/>
              </w:rPr>
            </w:pPr>
            <w:r w:rsidRPr="00BB79FA">
              <w:rPr>
                <w:rFonts w:ascii="Arial" w:eastAsia="Times New Roman" w:hAnsi="Arial" w:cs="Arial"/>
                <w:color w:val="000000"/>
                <w:kern w:val="0"/>
                <w:lang w:eastAsia="en-GB"/>
                <w14:ligatures w14:val="none"/>
              </w:rPr>
              <w:t>2</w:t>
            </w:r>
            <w:r w:rsidR="004F4129" w:rsidRPr="00BB79FA">
              <w:rPr>
                <w:rFonts w:ascii="Arial" w:eastAsia="Times New Roman" w:hAnsi="Arial" w:cs="Arial"/>
                <w:color w:val="000000"/>
                <w:kern w:val="0"/>
                <w:lang w:eastAsia="en-GB"/>
                <w14:ligatures w14:val="none"/>
              </w:rPr>
              <w:t>6</w:t>
            </w:r>
            <w:r w:rsidRPr="00BB79FA">
              <w:rPr>
                <w:rFonts w:ascii="Arial" w:eastAsia="Times New Roman" w:hAnsi="Arial" w:cs="Arial"/>
                <w:color w:val="000000"/>
                <w:kern w:val="0"/>
                <w:lang w:eastAsia="en-GB"/>
                <w14:ligatures w14:val="none"/>
              </w:rPr>
              <w:t>1</w:t>
            </w:r>
          </w:p>
        </w:tc>
        <w:tc>
          <w:tcPr>
            <w:tcW w:w="7435" w:type="dxa"/>
            <w:tcBorders>
              <w:top w:val="nil"/>
              <w:left w:val="nil"/>
              <w:bottom w:val="single" w:sz="4" w:space="0" w:color="auto"/>
              <w:right w:val="single" w:sz="4" w:space="0" w:color="auto"/>
            </w:tcBorders>
            <w:shd w:val="clear" w:color="auto" w:fill="FFFFFF" w:themeFill="background1"/>
            <w:noWrap/>
            <w:hideMark/>
          </w:tcPr>
          <w:p w14:paraId="68D19418" w14:textId="77777777" w:rsidR="00C66014" w:rsidRPr="00BB79FA" w:rsidRDefault="00C66014">
            <w:pPr>
              <w:spacing w:after="0" w:line="240" w:lineRule="auto"/>
              <w:rPr>
                <w:rFonts w:ascii="Arial" w:eastAsia="Arial" w:hAnsi="Arial" w:cs="Arial"/>
                <w:i/>
                <w:color w:val="000000" w:themeColor="text1"/>
                <w:lang w:eastAsia="en-GB"/>
              </w:rPr>
            </w:pPr>
            <w:r w:rsidRPr="00BB79FA">
              <w:rPr>
                <w:rFonts w:ascii="Arial" w:eastAsia="Times New Roman" w:hAnsi="Arial" w:cs="Arial"/>
                <w:i/>
                <w:iCs/>
                <w:color w:val="000000"/>
                <w:kern w:val="0"/>
                <w:lang w:eastAsia="en-GB"/>
                <w14:ligatures w14:val="none"/>
              </w:rPr>
              <w:t xml:space="preserve"> </w:t>
            </w:r>
            <w:r w:rsidRPr="00BB79FA">
              <w:rPr>
                <w:rFonts w:ascii="Arial" w:eastAsia="Arial" w:hAnsi="Arial" w:cs="Arial"/>
                <w:i/>
                <w:color w:val="000000"/>
                <w:kern w:val="0"/>
                <w:u w:val="single"/>
                <w:lang w:eastAsia="en-GB"/>
                <w14:ligatures w14:val="none"/>
              </w:rPr>
              <w:t xml:space="preserve">     of which: assigned a RW of 20%</w:t>
            </w:r>
            <w:r w:rsidRPr="00BB79FA">
              <w:rPr>
                <w:rFonts w:ascii="Arial" w:eastAsia="Times New Roman" w:hAnsi="Arial" w:cs="Arial"/>
                <w:i/>
                <w:iCs/>
                <w:color w:val="000000"/>
                <w:kern w:val="0"/>
                <w:lang w:eastAsia="en-GB"/>
                <w14:ligatures w14:val="none"/>
              </w:rPr>
              <w:t xml:space="preserve"> </w:t>
            </w:r>
          </w:p>
          <w:p w14:paraId="4B2B4C36" w14:textId="77777777" w:rsidR="00C66014" w:rsidRPr="00BB79FA" w:rsidRDefault="00C66014">
            <w:pPr>
              <w:spacing w:after="0" w:line="240" w:lineRule="auto"/>
              <w:rPr>
                <w:rFonts w:ascii="Arial" w:eastAsia="Arial" w:hAnsi="Arial" w:cs="Arial"/>
                <w:i/>
                <w:color w:val="000000" w:themeColor="text1"/>
                <w:lang w:eastAsia="en-GB"/>
              </w:rPr>
            </w:pPr>
          </w:p>
          <w:p w14:paraId="53FB991F" w14:textId="77777777" w:rsidR="003761EF" w:rsidRPr="00BB79FA" w:rsidRDefault="003761EF" w:rsidP="003761EF">
            <w:pPr>
              <w:spacing w:after="0" w:line="240" w:lineRule="auto"/>
              <w:rPr>
                <w:rFonts w:ascii="Arial" w:eastAsia="Arial" w:hAnsi="Arial" w:cs="Arial"/>
                <w:i/>
                <w:color w:val="000000" w:themeColor="text1"/>
                <w:lang w:eastAsia="en-GB"/>
              </w:rPr>
            </w:pPr>
            <w:r w:rsidRPr="00BB79FA">
              <w:rPr>
                <w:rFonts w:ascii="Arial" w:eastAsia="Arial" w:hAnsi="Arial" w:cs="Arial"/>
                <w:i/>
                <w:iCs/>
                <w:color w:val="000000" w:themeColor="text1"/>
                <w:lang w:eastAsia="en-GB"/>
              </w:rPr>
              <w:t xml:space="preserve">Only project finance exposures that are </w:t>
            </w:r>
            <w:r w:rsidRPr="00BB79FA">
              <w:rPr>
                <w:rFonts w:ascii="Arial" w:eastAsia="Arial" w:hAnsi="Arial" w:cs="Arial"/>
                <w:i/>
                <w:iCs/>
              </w:rPr>
              <w:t>assigned a risk weight of 20% under Article 122B(1) of the Credit Risk: Standardised Approach (CRR) Part shall be reported here.</w:t>
            </w:r>
          </w:p>
          <w:p w14:paraId="73D727ED" w14:textId="77777777" w:rsidR="00C66014" w:rsidRPr="00BB79FA" w:rsidRDefault="00C66014">
            <w:pPr>
              <w:spacing w:after="0" w:line="240" w:lineRule="auto"/>
              <w:rPr>
                <w:rFonts w:ascii="Arial" w:eastAsia="Times New Roman" w:hAnsi="Arial" w:cs="Arial"/>
                <w:i/>
                <w:iCs/>
                <w:color w:val="000000"/>
                <w:kern w:val="0"/>
                <w:lang w:eastAsia="en-GB"/>
                <w14:ligatures w14:val="none"/>
              </w:rPr>
            </w:pPr>
          </w:p>
        </w:tc>
      </w:tr>
      <w:tr w:rsidR="00C66014" w:rsidRPr="00BB79FA" w14:paraId="2C114A3E" w14:textId="77777777" w:rsidTr="00481F75">
        <w:trPr>
          <w:trHeight w:val="276"/>
        </w:trPr>
        <w:tc>
          <w:tcPr>
            <w:tcW w:w="929" w:type="dxa"/>
            <w:tcBorders>
              <w:top w:val="nil"/>
              <w:left w:val="single" w:sz="4" w:space="0" w:color="auto"/>
              <w:bottom w:val="single" w:sz="4" w:space="0" w:color="auto"/>
              <w:right w:val="single" w:sz="4" w:space="0" w:color="auto"/>
            </w:tcBorders>
            <w:shd w:val="clear" w:color="auto" w:fill="FFFFFF" w:themeFill="background1"/>
            <w:noWrap/>
            <w:hideMark/>
          </w:tcPr>
          <w:p w14:paraId="1505E357" w14:textId="60C4C32A" w:rsidR="00C66014" w:rsidRPr="00BB79FA" w:rsidRDefault="00C66014">
            <w:pPr>
              <w:spacing w:after="0" w:line="240" w:lineRule="auto"/>
              <w:rPr>
                <w:rFonts w:ascii="Arial" w:eastAsia="Times New Roman" w:hAnsi="Arial" w:cs="Arial"/>
                <w:color w:val="000000"/>
                <w:kern w:val="0"/>
                <w:lang w:eastAsia="en-GB"/>
                <w14:ligatures w14:val="none"/>
              </w:rPr>
            </w:pPr>
            <w:r w:rsidRPr="00BB79FA">
              <w:rPr>
                <w:rFonts w:ascii="Arial" w:eastAsia="Times New Roman" w:hAnsi="Arial" w:cs="Arial"/>
                <w:color w:val="000000"/>
                <w:kern w:val="0"/>
                <w:lang w:eastAsia="en-GB"/>
                <w14:ligatures w14:val="none"/>
              </w:rPr>
              <w:t>2</w:t>
            </w:r>
            <w:r w:rsidR="004F4129" w:rsidRPr="00BB79FA">
              <w:rPr>
                <w:rFonts w:ascii="Arial" w:eastAsia="Times New Roman" w:hAnsi="Arial" w:cs="Arial"/>
                <w:color w:val="000000"/>
                <w:kern w:val="0"/>
                <w:lang w:eastAsia="en-GB"/>
                <w14:ligatures w14:val="none"/>
              </w:rPr>
              <w:t>6</w:t>
            </w:r>
            <w:r w:rsidRPr="00BB79FA">
              <w:rPr>
                <w:rFonts w:ascii="Arial" w:eastAsia="Times New Roman" w:hAnsi="Arial" w:cs="Arial"/>
                <w:color w:val="000000"/>
                <w:kern w:val="0"/>
                <w:lang w:eastAsia="en-GB"/>
                <w14:ligatures w14:val="none"/>
              </w:rPr>
              <w:t>2</w:t>
            </w:r>
          </w:p>
        </w:tc>
        <w:tc>
          <w:tcPr>
            <w:tcW w:w="7435" w:type="dxa"/>
            <w:tcBorders>
              <w:top w:val="nil"/>
              <w:left w:val="nil"/>
              <w:bottom w:val="single" w:sz="4" w:space="0" w:color="auto"/>
              <w:right w:val="single" w:sz="4" w:space="0" w:color="auto"/>
            </w:tcBorders>
            <w:shd w:val="clear" w:color="auto" w:fill="FFFFFF" w:themeFill="background1"/>
            <w:noWrap/>
            <w:hideMark/>
          </w:tcPr>
          <w:p w14:paraId="1DEF4F95" w14:textId="77777777" w:rsidR="00C66014" w:rsidRPr="00BB79FA" w:rsidRDefault="00C66014">
            <w:pPr>
              <w:spacing w:after="0" w:line="240" w:lineRule="auto"/>
              <w:rPr>
                <w:rFonts w:ascii="Arial" w:eastAsia="Arial" w:hAnsi="Arial" w:cs="Arial"/>
                <w:i/>
                <w:color w:val="000000" w:themeColor="text1"/>
                <w:u w:val="single"/>
                <w:lang w:eastAsia="en-GB"/>
              </w:rPr>
            </w:pPr>
            <w:r w:rsidRPr="00BB79FA">
              <w:rPr>
                <w:rFonts w:ascii="Arial" w:eastAsia="Arial" w:hAnsi="Arial" w:cs="Arial"/>
                <w:i/>
                <w:color w:val="000000"/>
                <w:kern w:val="0"/>
                <w:u w:val="single"/>
                <w:lang w:eastAsia="en-GB"/>
                <w14:ligatures w14:val="none"/>
              </w:rPr>
              <w:t xml:space="preserve">      of which: assigned a RW of 50% </w:t>
            </w:r>
          </w:p>
          <w:p w14:paraId="00CCCBD8" w14:textId="77777777" w:rsidR="00C66014" w:rsidRPr="00BB79FA" w:rsidRDefault="00C66014">
            <w:pPr>
              <w:spacing w:after="0" w:line="240" w:lineRule="auto"/>
              <w:rPr>
                <w:rFonts w:ascii="Arial" w:eastAsia="Arial" w:hAnsi="Arial" w:cs="Arial"/>
                <w:i/>
                <w:color w:val="000000" w:themeColor="text1"/>
                <w:lang w:eastAsia="en-GB"/>
              </w:rPr>
            </w:pPr>
          </w:p>
          <w:p w14:paraId="21F53B93" w14:textId="77777777" w:rsidR="003761EF" w:rsidRPr="00BB79FA" w:rsidRDefault="003761EF" w:rsidP="003761EF">
            <w:pPr>
              <w:spacing w:after="0" w:line="240" w:lineRule="auto"/>
              <w:rPr>
                <w:rFonts w:ascii="Arial" w:eastAsia="Arial" w:hAnsi="Arial" w:cs="Arial"/>
                <w:i/>
                <w:iCs/>
              </w:rPr>
            </w:pPr>
            <w:r w:rsidRPr="00BB79FA">
              <w:rPr>
                <w:rFonts w:ascii="Arial" w:eastAsia="Arial" w:hAnsi="Arial" w:cs="Arial"/>
                <w:i/>
                <w:iCs/>
                <w:color w:val="000000" w:themeColor="text1"/>
                <w:lang w:eastAsia="en-GB"/>
              </w:rPr>
              <w:t xml:space="preserve">Only project finance exposures that are </w:t>
            </w:r>
            <w:r w:rsidRPr="00BB79FA">
              <w:rPr>
                <w:rFonts w:ascii="Arial" w:eastAsia="Arial" w:hAnsi="Arial" w:cs="Arial"/>
                <w:i/>
                <w:iCs/>
              </w:rPr>
              <w:t>assigned a risk weight of 50% under Article 122B(1) of the Credit Risk: Standardised Approach (CRR) Part shall be reported here.</w:t>
            </w:r>
          </w:p>
          <w:p w14:paraId="00573177" w14:textId="77777777" w:rsidR="00C66014" w:rsidRPr="00BB79FA" w:rsidRDefault="00C66014">
            <w:pPr>
              <w:spacing w:after="0" w:line="240" w:lineRule="auto"/>
              <w:rPr>
                <w:rFonts w:ascii="Arial" w:eastAsia="Times New Roman" w:hAnsi="Arial" w:cs="Arial"/>
                <w:i/>
                <w:iCs/>
                <w:color w:val="000000"/>
                <w:kern w:val="0"/>
                <w:lang w:eastAsia="en-GB"/>
                <w14:ligatures w14:val="none"/>
              </w:rPr>
            </w:pPr>
          </w:p>
        </w:tc>
      </w:tr>
      <w:tr w:rsidR="00C66014" w:rsidRPr="00BB79FA" w14:paraId="68027456" w14:textId="77777777" w:rsidTr="00481F75">
        <w:trPr>
          <w:trHeight w:val="276"/>
        </w:trPr>
        <w:tc>
          <w:tcPr>
            <w:tcW w:w="929" w:type="dxa"/>
            <w:tcBorders>
              <w:top w:val="nil"/>
              <w:left w:val="single" w:sz="4" w:space="0" w:color="auto"/>
              <w:bottom w:val="single" w:sz="4" w:space="0" w:color="auto"/>
              <w:right w:val="single" w:sz="4" w:space="0" w:color="auto"/>
            </w:tcBorders>
            <w:shd w:val="clear" w:color="auto" w:fill="FFFFFF" w:themeFill="background1"/>
            <w:noWrap/>
            <w:hideMark/>
          </w:tcPr>
          <w:p w14:paraId="2E5A0637" w14:textId="4EC795D7" w:rsidR="00C66014" w:rsidRPr="00BB79FA" w:rsidRDefault="00C66014">
            <w:pPr>
              <w:spacing w:after="0" w:line="240" w:lineRule="auto"/>
              <w:rPr>
                <w:rFonts w:ascii="Arial" w:eastAsia="Times New Roman" w:hAnsi="Arial" w:cs="Arial"/>
                <w:color w:val="000000"/>
                <w:kern w:val="0"/>
                <w:lang w:eastAsia="en-GB"/>
                <w14:ligatures w14:val="none"/>
              </w:rPr>
            </w:pPr>
            <w:r w:rsidRPr="00BB79FA">
              <w:rPr>
                <w:rFonts w:ascii="Arial" w:eastAsia="Times New Roman" w:hAnsi="Arial" w:cs="Arial"/>
                <w:color w:val="000000"/>
                <w:kern w:val="0"/>
                <w:lang w:eastAsia="en-GB"/>
                <w14:ligatures w14:val="none"/>
              </w:rPr>
              <w:t>2</w:t>
            </w:r>
            <w:r w:rsidR="004F4129" w:rsidRPr="00BB79FA">
              <w:rPr>
                <w:rFonts w:ascii="Arial" w:eastAsia="Times New Roman" w:hAnsi="Arial" w:cs="Arial"/>
                <w:color w:val="000000"/>
                <w:kern w:val="0"/>
                <w:lang w:eastAsia="en-GB"/>
                <w14:ligatures w14:val="none"/>
              </w:rPr>
              <w:t>6</w:t>
            </w:r>
            <w:r w:rsidRPr="00BB79FA">
              <w:rPr>
                <w:rFonts w:ascii="Arial" w:eastAsia="Times New Roman" w:hAnsi="Arial" w:cs="Arial"/>
                <w:color w:val="000000"/>
                <w:kern w:val="0"/>
                <w:lang w:eastAsia="en-GB"/>
                <w14:ligatures w14:val="none"/>
              </w:rPr>
              <w:t>3</w:t>
            </w:r>
          </w:p>
        </w:tc>
        <w:tc>
          <w:tcPr>
            <w:tcW w:w="7435" w:type="dxa"/>
            <w:tcBorders>
              <w:top w:val="nil"/>
              <w:left w:val="nil"/>
              <w:bottom w:val="single" w:sz="4" w:space="0" w:color="auto"/>
              <w:right w:val="single" w:sz="4" w:space="0" w:color="auto"/>
            </w:tcBorders>
            <w:shd w:val="clear" w:color="auto" w:fill="FFFFFF" w:themeFill="background1"/>
            <w:noWrap/>
            <w:hideMark/>
          </w:tcPr>
          <w:p w14:paraId="61A3996B" w14:textId="77777777" w:rsidR="003761EF" w:rsidRPr="00BB79FA" w:rsidRDefault="003761EF" w:rsidP="003761EF">
            <w:pPr>
              <w:spacing w:after="0" w:line="240" w:lineRule="auto"/>
              <w:rPr>
                <w:rFonts w:ascii="Arial" w:eastAsia="Arial" w:hAnsi="Arial" w:cs="Arial"/>
                <w:i/>
                <w:iCs/>
                <w:color w:val="000000" w:themeColor="text1"/>
                <w:lang w:eastAsia="en-GB"/>
              </w:rPr>
            </w:pPr>
            <w:r w:rsidRPr="00BB79FA">
              <w:rPr>
                <w:rFonts w:ascii="Arial" w:eastAsia="Arial" w:hAnsi="Arial" w:cs="Arial"/>
                <w:i/>
                <w:color w:val="000000"/>
                <w:kern w:val="0"/>
                <w:lang w:eastAsia="en-GB"/>
                <w14:ligatures w14:val="none"/>
              </w:rPr>
              <w:t xml:space="preserve"> </w:t>
            </w:r>
            <w:r w:rsidRPr="00BB79FA">
              <w:rPr>
                <w:rFonts w:ascii="Arial" w:eastAsia="Arial" w:hAnsi="Arial" w:cs="Arial"/>
                <w:i/>
                <w:color w:val="000000"/>
                <w:kern w:val="0"/>
                <w:u w:val="single"/>
                <w:lang w:eastAsia="en-GB"/>
                <w14:ligatures w14:val="none"/>
              </w:rPr>
              <w:t xml:space="preserve">     of which: assigned a RW of 75%</w:t>
            </w:r>
          </w:p>
          <w:p w14:paraId="5C419442" w14:textId="77777777" w:rsidR="003761EF" w:rsidRPr="00BB79FA" w:rsidRDefault="003761EF" w:rsidP="003761EF">
            <w:pPr>
              <w:spacing w:after="0" w:line="240" w:lineRule="auto"/>
              <w:rPr>
                <w:rFonts w:ascii="Arial" w:eastAsia="Arial" w:hAnsi="Arial" w:cs="Arial"/>
                <w:i/>
                <w:iCs/>
                <w:color w:val="000000" w:themeColor="text1"/>
                <w:lang w:eastAsia="en-GB"/>
              </w:rPr>
            </w:pPr>
          </w:p>
          <w:p w14:paraId="5AE18184" w14:textId="77777777" w:rsidR="003761EF" w:rsidRPr="00BB79FA" w:rsidRDefault="003761EF" w:rsidP="003761EF">
            <w:pPr>
              <w:spacing w:after="0" w:line="240" w:lineRule="auto"/>
              <w:rPr>
                <w:rFonts w:ascii="Arial" w:eastAsia="Arial" w:hAnsi="Arial" w:cs="Arial"/>
                <w:i/>
                <w:iCs/>
              </w:rPr>
            </w:pPr>
            <w:r w:rsidRPr="00BB79FA">
              <w:rPr>
                <w:rFonts w:ascii="Arial" w:eastAsia="Arial" w:hAnsi="Arial" w:cs="Arial"/>
                <w:i/>
                <w:iCs/>
                <w:color w:val="000000" w:themeColor="text1"/>
                <w:lang w:eastAsia="en-GB"/>
              </w:rPr>
              <w:t xml:space="preserve">Only project finance exposures that are </w:t>
            </w:r>
            <w:r w:rsidRPr="00BB79FA">
              <w:rPr>
                <w:rFonts w:ascii="Arial" w:eastAsia="Arial" w:hAnsi="Arial" w:cs="Arial"/>
                <w:i/>
                <w:iCs/>
              </w:rPr>
              <w:t>assigned a risk weight of 75% under Article 122B(1) of the Credit Risk: Standardised Approach (CRR) Part shall be reported here.</w:t>
            </w:r>
          </w:p>
          <w:p w14:paraId="2C44D740" w14:textId="1832811E" w:rsidR="00C66014" w:rsidRPr="00BB79FA" w:rsidRDefault="003761EF">
            <w:pPr>
              <w:spacing w:after="0" w:line="240" w:lineRule="auto"/>
              <w:rPr>
                <w:rFonts w:ascii="Arial" w:eastAsia="Times New Roman" w:hAnsi="Arial" w:cs="Arial"/>
                <w:i/>
                <w:iCs/>
                <w:color w:val="000000"/>
                <w:kern w:val="0"/>
                <w:lang w:eastAsia="en-GB"/>
                <w14:ligatures w14:val="none"/>
              </w:rPr>
            </w:pPr>
            <w:r w:rsidRPr="00BB79FA">
              <w:rPr>
                <w:rFonts w:ascii="Arial" w:eastAsia="Arial" w:hAnsi="Arial" w:cs="Arial"/>
                <w:i/>
                <w:color w:val="000000"/>
                <w:kern w:val="0"/>
                <w:lang w:eastAsia="en-GB"/>
                <w14:ligatures w14:val="none"/>
              </w:rPr>
              <w:t xml:space="preserve"> </w:t>
            </w:r>
          </w:p>
        </w:tc>
      </w:tr>
      <w:tr w:rsidR="00C66014" w:rsidRPr="00BB79FA" w14:paraId="4B36C6CB" w14:textId="77777777" w:rsidTr="00481F75">
        <w:trPr>
          <w:trHeight w:val="276"/>
        </w:trPr>
        <w:tc>
          <w:tcPr>
            <w:tcW w:w="929" w:type="dxa"/>
            <w:tcBorders>
              <w:top w:val="nil"/>
              <w:left w:val="single" w:sz="4" w:space="0" w:color="auto"/>
              <w:bottom w:val="single" w:sz="4" w:space="0" w:color="auto"/>
              <w:right w:val="single" w:sz="4" w:space="0" w:color="auto"/>
            </w:tcBorders>
            <w:shd w:val="clear" w:color="auto" w:fill="FFFFFF" w:themeFill="background1"/>
            <w:noWrap/>
            <w:hideMark/>
          </w:tcPr>
          <w:p w14:paraId="41360007" w14:textId="0DB44971" w:rsidR="00C66014" w:rsidRPr="00BB79FA" w:rsidRDefault="00C66014">
            <w:pPr>
              <w:spacing w:after="0" w:line="240" w:lineRule="auto"/>
              <w:rPr>
                <w:rFonts w:ascii="Arial" w:eastAsia="Times New Roman" w:hAnsi="Arial" w:cs="Arial"/>
                <w:color w:val="000000"/>
                <w:kern w:val="0"/>
                <w:lang w:eastAsia="en-GB"/>
                <w14:ligatures w14:val="none"/>
              </w:rPr>
            </w:pPr>
            <w:r w:rsidRPr="00BB79FA">
              <w:rPr>
                <w:rFonts w:ascii="Arial" w:eastAsia="Times New Roman" w:hAnsi="Arial" w:cs="Arial"/>
                <w:color w:val="000000"/>
                <w:kern w:val="0"/>
                <w:lang w:eastAsia="en-GB"/>
                <w14:ligatures w14:val="none"/>
              </w:rPr>
              <w:t>2</w:t>
            </w:r>
            <w:r w:rsidR="004F4129" w:rsidRPr="00BB79FA">
              <w:rPr>
                <w:rFonts w:ascii="Arial" w:eastAsia="Times New Roman" w:hAnsi="Arial" w:cs="Arial"/>
                <w:color w:val="000000"/>
                <w:kern w:val="0"/>
                <w:lang w:eastAsia="en-GB"/>
                <w14:ligatures w14:val="none"/>
              </w:rPr>
              <w:t>6</w:t>
            </w:r>
            <w:r w:rsidRPr="00BB79FA">
              <w:rPr>
                <w:rFonts w:ascii="Arial" w:eastAsia="Times New Roman" w:hAnsi="Arial" w:cs="Arial"/>
                <w:color w:val="000000"/>
                <w:kern w:val="0"/>
                <w:lang w:eastAsia="en-GB"/>
                <w14:ligatures w14:val="none"/>
              </w:rPr>
              <w:t>4</w:t>
            </w:r>
          </w:p>
        </w:tc>
        <w:tc>
          <w:tcPr>
            <w:tcW w:w="7435" w:type="dxa"/>
            <w:tcBorders>
              <w:top w:val="nil"/>
              <w:left w:val="nil"/>
              <w:bottom w:val="single" w:sz="4" w:space="0" w:color="auto"/>
              <w:right w:val="single" w:sz="4" w:space="0" w:color="auto"/>
            </w:tcBorders>
            <w:shd w:val="clear" w:color="auto" w:fill="FFFFFF" w:themeFill="background1"/>
            <w:noWrap/>
            <w:hideMark/>
          </w:tcPr>
          <w:p w14:paraId="4FABDEE3" w14:textId="77777777" w:rsidR="00C66014" w:rsidRPr="00BB79FA" w:rsidRDefault="00C66014">
            <w:pPr>
              <w:spacing w:after="0" w:line="240" w:lineRule="auto"/>
              <w:rPr>
                <w:rFonts w:ascii="Arial" w:eastAsia="Arial" w:hAnsi="Arial" w:cs="Arial"/>
                <w:i/>
                <w:color w:val="000000" w:themeColor="text1"/>
                <w:u w:val="single"/>
                <w:lang w:eastAsia="en-GB"/>
              </w:rPr>
            </w:pPr>
            <w:r w:rsidRPr="00BB79FA">
              <w:rPr>
                <w:rFonts w:ascii="Arial" w:eastAsia="Arial" w:hAnsi="Arial" w:cs="Arial"/>
                <w:i/>
                <w:color w:val="000000"/>
                <w:kern w:val="0"/>
                <w:u w:val="single"/>
                <w:lang w:eastAsia="en-GB"/>
                <w14:ligatures w14:val="none"/>
              </w:rPr>
              <w:t xml:space="preserve">      of which: assigned a RW of 100% </w:t>
            </w:r>
          </w:p>
          <w:p w14:paraId="0F929C36" w14:textId="77777777" w:rsidR="00C66014" w:rsidRPr="00BB79FA" w:rsidRDefault="00C66014">
            <w:pPr>
              <w:spacing w:after="0" w:line="240" w:lineRule="auto"/>
              <w:rPr>
                <w:rFonts w:ascii="Arial" w:eastAsia="Arial" w:hAnsi="Arial" w:cs="Arial"/>
                <w:i/>
                <w:color w:val="000000" w:themeColor="text1"/>
                <w:lang w:eastAsia="en-GB"/>
              </w:rPr>
            </w:pPr>
          </w:p>
          <w:p w14:paraId="56948509" w14:textId="77777777" w:rsidR="003761EF" w:rsidRPr="00BB79FA" w:rsidRDefault="003761EF" w:rsidP="003761EF">
            <w:pPr>
              <w:spacing w:after="0" w:line="240" w:lineRule="auto"/>
              <w:rPr>
                <w:rFonts w:ascii="Arial" w:eastAsia="Arial" w:hAnsi="Arial" w:cs="Arial"/>
                <w:i/>
                <w:iCs/>
              </w:rPr>
            </w:pPr>
            <w:r w:rsidRPr="00BB79FA">
              <w:rPr>
                <w:rFonts w:ascii="Arial" w:eastAsia="Arial" w:hAnsi="Arial" w:cs="Arial"/>
                <w:i/>
                <w:iCs/>
                <w:color w:val="000000" w:themeColor="text1"/>
                <w:lang w:eastAsia="en-GB"/>
              </w:rPr>
              <w:t xml:space="preserve">Only project finance exposures that are </w:t>
            </w:r>
            <w:r w:rsidRPr="00BB79FA">
              <w:rPr>
                <w:rFonts w:ascii="Arial" w:eastAsia="Arial" w:hAnsi="Arial" w:cs="Arial"/>
                <w:i/>
                <w:iCs/>
              </w:rPr>
              <w:t>assigned a risk weight of 100% under Article 122B(1) of the Credit Risk: Standardised Approach (CRR) Part shall be reported here.</w:t>
            </w:r>
          </w:p>
          <w:p w14:paraId="2C4AC365" w14:textId="77777777" w:rsidR="00C66014" w:rsidRPr="00BB79FA" w:rsidRDefault="00C66014">
            <w:pPr>
              <w:spacing w:after="0" w:line="240" w:lineRule="auto"/>
              <w:rPr>
                <w:rFonts w:ascii="Arial" w:eastAsia="Times New Roman" w:hAnsi="Arial" w:cs="Arial"/>
                <w:i/>
                <w:iCs/>
                <w:color w:val="000000"/>
                <w:kern w:val="0"/>
                <w:lang w:eastAsia="en-GB"/>
                <w14:ligatures w14:val="none"/>
              </w:rPr>
            </w:pPr>
          </w:p>
        </w:tc>
      </w:tr>
      <w:tr w:rsidR="00C66014" w:rsidRPr="00BB79FA" w14:paraId="790A9F06" w14:textId="77777777" w:rsidTr="00481F75">
        <w:trPr>
          <w:trHeight w:val="276"/>
        </w:trPr>
        <w:tc>
          <w:tcPr>
            <w:tcW w:w="929" w:type="dxa"/>
            <w:tcBorders>
              <w:top w:val="nil"/>
              <w:left w:val="single" w:sz="4" w:space="0" w:color="auto"/>
              <w:bottom w:val="single" w:sz="4" w:space="0" w:color="auto"/>
              <w:right w:val="single" w:sz="4" w:space="0" w:color="auto"/>
            </w:tcBorders>
            <w:shd w:val="clear" w:color="auto" w:fill="FFFFFF" w:themeFill="background1"/>
            <w:noWrap/>
            <w:hideMark/>
          </w:tcPr>
          <w:p w14:paraId="0F753011" w14:textId="06DB0998" w:rsidR="00C66014" w:rsidRPr="00BB79FA" w:rsidRDefault="00C66014">
            <w:pPr>
              <w:spacing w:after="0" w:line="240" w:lineRule="auto"/>
              <w:rPr>
                <w:rFonts w:ascii="Arial" w:eastAsia="Times New Roman" w:hAnsi="Arial" w:cs="Arial"/>
                <w:color w:val="000000"/>
                <w:kern w:val="0"/>
                <w:lang w:eastAsia="en-GB"/>
                <w14:ligatures w14:val="none"/>
              </w:rPr>
            </w:pPr>
            <w:r w:rsidRPr="00BB79FA">
              <w:rPr>
                <w:rFonts w:ascii="Arial" w:eastAsia="Times New Roman" w:hAnsi="Arial" w:cs="Arial"/>
                <w:color w:val="000000"/>
                <w:kern w:val="0"/>
                <w:lang w:eastAsia="en-GB"/>
                <w14:ligatures w14:val="none"/>
              </w:rPr>
              <w:t>2</w:t>
            </w:r>
            <w:r w:rsidR="004F4129" w:rsidRPr="00BB79FA">
              <w:rPr>
                <w:rFonts w:ascii="Arial" w:eastAsia="Times New Roman" w:hAnsi="Arial" w:cs="Arial"/>
                <w:color w:val="000000"/>
                <w:kern w:val="0"/>
                <w:lang w:eastAsia="en-GB"/>
                <w14:ligatures w14:val="none"/>
              </w:rPr>
              <w:t>6</w:t>
            </w:r>
            <w:r w:rsidRPr="00BB79FA">
              <w:rPr>
                <w:rFonts w:ascii="Arial" w:eastAsia="Times New Roman" w:hAnsi="Arial" w:cs="Arial"/>
                <w:color w:val="000000"/>
                <w:kern w:val="0"/>
                <w:lang w:eastAsia="en-GB"/>
                <w14:ligatures w14:val="none"/>
              </w:rPr>
              <w:t>5</w:t>
            </w:r>
          </w:p>
        </w:tc>
        <w:tc>
          <w:tcPr>
            <w:tcW w:w="7435" w:type="dxa"/>
            <w:tcBorders>
              <w:top w:val="nil"/>
              <w:left w:val="nil"/>
              <w:bottom w:val="single" w:sz="4" w:space="0" w:color="auto"/>
              <w:right w:val="single" w:sz="4" w:space="0" w:color="auto"/>
            </w:tcBorders>
            <w:shd w:val="clear" w:color="auto" w:fill="FFFFFF" w:themeFill="background1"/>
            <w:noWrap/>
            <w:hideMark/>
          </w:tcPr>
          <w:p w14:paraId="1DC1B93F" w14:textId="77777777" w:rsidR="00C66014" w:rsidRPr="00BB79FA" w:rsidRDefault="00C66014">
            <w:pPr>
              <w:spacing w:after="0" w:line="240" w:lineRule="auto"/>
              <w:rPr>
                <w:rFonts w:ascii="Arial" w:eastAsia="Arial" w:hAnsi="Arial" w:cs="Arial"/>
                <w:i/>
                <w:color w:val="000000" w:themeColor="text1"/>
                <w:lang w:eastAsia="en-GB"/>
              </w:rPr>
            </w:pPr>
            <w:r w:rsidRPr="00BB79FA">
              <w:rPr>
                <w:rFonts w:ascii="Arial" w:eastAsia="Arial" w:hAnsi="Arial" w:cs="Arial"/>
                <w:i/>
                <w:color w:val="000000"/>
                <w:kern w:val="0"/>
                <w:u w:val="single"/>
                <w:lang w:eastAsia="en-GB"/>
                <w14:ligatures w14:val="none"/>
              </w:rPr>
              <w:t xml:space="preserve">      of which: assigned a RW of 150%</w:t>
            </w:r>
            <w:r w:rsidRPr="00BB79FA">
              <w:rPr>
                <w:rFonts w:ascii="Arial" w:eastAsia="Times New Roman" w:hAnsi="Arial" w:cs="Arial"/>
                <w:i/>
                <w:iCs/>
                <w:color w:val="000000"/>
                <w:kern w:val="0"/>
                <w:lang w:eastAsia="en-GB"/>
                <w14:ligatures w14:val="none"/>
              </w:rPr>
              <w:t xml:space="preserve"> </w:t>
            </w:r>
          </w:p>
          <w:p w14:paraId="2BEC5ACA" w14:textId="77777777" w:rsidR="00C66014" w:rsidRPr="00BB79FA" w:rsidRDefault="00C66014">
            <w:pPr>
              <w:spacing w:after="0" w:line="240" w:lineRule="auto"/>
              <w:rPr>
                <w:rFonts w:ascii="Arial" w:eastAsia="Arial" w:hAnsi="Arial" w:cs="Arial"/>
                <w:i/>
                <w:color w:val="000000" w:themeColor="text1"/>
                <w:lang w:eastAsia="en-GB"/>
              </w:rPr>
            </w:pPr>
          </w:p>
          <w:p w14:paraId="5C73C44A" w14:textId="77777777" w:rsidR="003761EF" w:rsidRPr="00BB79FA" w:rsidRDefault="003761EF" w:rsidP="003761EF">
            <w:pPr>
              <w:spacing w:after="0" w:line="240" w:lineRule="auto"/>
              <w:rPr>
                <w:rFonts w:ascii="Arial" w:eastAsia="Arial" w:hAnsi="Arial" w:cs="Arial"/>
                <w:i/>
                <w:iCs/>
              </w:rPr>
            </w:pPr>
            <w:r w:rsidRPr="00BB79FA">
              <w:rPr>
                <w:rFonts w:ascii="Arial" w:eastAsia="Arial" w:hAnsi="Arial" w:cs="Arial"/>
                <w:i/>
                <w:iCs/>
                <w:color w:val="000000" w:themeColor="text1"/>
                <w:lang w:eastAsia="en-GB"/>
              </w:rPr>
              <w:t xml:space="preserve">Only project finance exposures that are </w:t>
            </w:r>
            <w:r w:rsidRPr="00BB79FA">
              <w:rPr>
                <w:rFonts w:ascii="Arial" w:eastAsia="Arial" w:hAnsi="Arial" w:cs="Arial"/>
                <w:i/>
                <w:iCs/>
              </w:rPr>
              <w:t>assigned a risk weight of 150% under Article 122B(1) of the Credit Risk: Standardised Approach (CRR) Part shall be reported here.</w:t>
            </w:r>
          </w:p>
          <w:p w14:paraId="22F05571" w14:textId="77777777" w:rsidR="00C66014" w:rsidRPr="00BB79FA" w:rsidRDefault="00C66014">
            <w:pPr>
              <w:spacing w:after="0" w:line="240" w:lineRule="auto"/>
              <w:rPr>
                <w:rFonts w:ascii="Arial" w:eastAsia="Times New Roman" w:hAnsi="Arial" w:cs="Arial"/>
                <w:i/>
                <w:iCs/>
                <w:color w:val="000000"/>
                <w:kern w:val="0"/>
                <w:lang w:eastAsia="en-GB"/>
                <w14:ligatures w14:val="none"/>
              </w:rPr>
            </w:pPr>
          </w:p>
        </w:tc>
      </w:tr>
      <w:tr w:rsidR="00C66014" w:rsidRPr="00BB79FA" w14:paraId="712EE918" w14:textId="77777777" w:rsidTr="00481F75">
        <w:trPr>
          <w:trHeight w:val="276"/>
        </w:trPr>
        <w:tc>
          <w:tcPr>
            <w:tcW w:w="929" w:type="dxa"/>
            <w:tcBorders>
              <w:top w:val="nil"/>
              <w:left w:val="single" w:sz="4" w:space="0" w:color="auto"/>
              <w:bottom w:val="single" w:sz="4" w:space="0" w:color="auto"/>
              <w:right w:val="single" w:sz="4" w:space="0" w:color="auto"/>
            </w:tcBorders>
            <w:shd w:val="clear" w:color="auto" w:fill="FFFFFF" w:themeFill="background1"/>
            <w:noWrap/>
            <w:hideMark/>
          </w:tcPr>
          <w:p w14:paraId="27839441" w14:textId="516F3626" w:rsidR="00C66014" w:rsidRPr="00BB79FA" w:rsidRDefault="00C66014">
            <w:pPr>
              <w:spacing w:after="0" w:line="240" w:lineRule="auto"/>
              <w:rPr>
                <w:rFonts w:ascii="Arial" w:eastAsia="Times New Roman" w:hAnsi="Arial" w:cs="Arial"/>
                <w:color w:val="000000"/>
                <w:kern w:val="0"/>
                <w:lang w:eastAsia="en-GB"/>
                <w14:ligatures w14:val="none"/>
              </w:rPr>
            </w:pPr>
            <w:r w:rsidRPr="00BB79FA">
              <w:rPr>
                <w:rFonts w:ascii="Arial" w:eastAsia="Times New Roman" w:hAnsi="Arial" w:cs="Arial"/>
                <w:color w:val="000000"/>
                <w:kern w:val="0"/>
                <w:lang w:eastAsia="en-GB"/>
                <w14:ligatures w14:val="none"/>
              </w:rPr>
              <w:lastRenderedPageBreak/>
              <w:t>2</w:t>
            </w:r>
            <w:r w:rsidR="004F4129" w:rsidRPr="00BB79FA">
              <w:rPr>
                <w:rFonts w:ascii="Arial" w:eastAsia="Times New Roman" w:hAnsi="Arial" w:cs="Arial"/>
                <w:color w:val="000000"/>
                <w:kern w:val="0"/>
                <w:lang w:eastAsia="en-GB"/>
                <w14:ligatures w14:val="none"/>
              </w:rPr>
              <w:t>7</w:t>
            </w:r>
            <w:r w:rsidRPr="00BB79FA">
              <w:rPr>
                <w:rFonts w:ascii="Arial" w:eastAsia="Times New Roman" w:hAnsi="Arial" w:cs="Arial"/>
                <w:color w:val="000000"/>
                <w:kern w:val="0"/>
                <w:lang w:eastAsia="en-GB"/>
                <w14:ligatures w14:val="none"/>
              </w:rPr>
              <w:t>0</w:t>
            </w:r>
          </w:p>
        </w:tc>
        <w:tc>
          <w:tcPr>
            <w:tcW w:w="7435" w:type="dxa"/>
            <w:tcBorders>
              <w:top w:val="nil"/>
              <w:left w:val="nil"/>
              <w:bottom w:val="single" w:sz="4" w:space="0" w:color="auto"/>
              <w:right w:val="single" w:sz="4" w:space="0" w:color="auto"/>
            </w:tcBorders>
            <w:noWrap/>
            <w:hideMark/>
          </w:tcPr>
          <w:p w14:paraId="7DDB4AD1" w14:textId="77777777" w:rsidR="00C66014" w:rsidRPr="00BB79FA" w:rsidRDefault="00C66014">
            <w:pPr>
              <w:spacing w:after="0" w:line="240" w:lineRule="auto"/>
              <w:rPr>
                <w:rFonts w:ascii="Arial" w:eastAsia="Arial" w:hAnsi="Arial" w:cs="Arial"/>
                <w:b/>
                <w:i/>
                <w:color w:val="000000" w:themeColor="text1"/>
                <w:u w:val="single"/>
                <w:lang w:eastAsia="en-GB"/>
              </w:rPr>
            </w:pPr>
            <w:r w:rsidRPr="00BB79FA">
              <w:rPr>
                <w:rFonts w:ascii="Arial" w:eastAsia="Arial" w:hAnsi="Arial" w:cs="Arial"/>
                <w:b/>
                <w:i/>
                <w:color w:val="000000"/>
                <w:kern w:val="0"/>
                <w:u w:val="single"/>
                <w:lang w:eastAsia="en-GB"/>
                <w14:ligatures w14:val="none"/>
              </w:rPr>
              <w:t xml:space="preserve">   of which: other specialised lending exposures (non-project finance exposures)</w:t>
            </w:r>
          </w:p>
          <w:p w14:paraId="60D21F85" w14:textId="77777777" w:rsidR="00C66014" w:rsidRPr="00BB79FA" w:rsidRDefault="00C66014">
            <w:pPr>
              <w:spacing w:after="0" w:line="240" w:lineRule="auto"/>
              <w:rPr>
                <w:rFonts w:ascii="Arial" w:eastAsia="Arial" w:hAnsi="Arial" w:cs="Arial"/>
                <w:b/>
                <w:i/>
                <w:color w:val="000000" w:themeColor="text1"/>
                <w:lang w:eastAsia="en-GB"/>
              </w:rPr>
            </w:pPr>
          </w:p>
          <w:p w14:paraId="0C479C13" w14:textId="77777777" w:rsidR="003761EF" w:rsidRPr="00BB79FA" w:rsidRDefault="003761EF" w:rsidP="003761EF">
            <w:pPr>
              <w:spacing w:after="0" w:line="240" w:lineRule="auto"/>
              <w:rPr>
                <w:rFonts w:ascii="Arial" w:eastAsia="Arial" w:hAnsi="Arial" w:cs="Arial"/>
                <w:i/>
                <w:color w:val="000000" w:themeColor="text1"/>
                <w:lang w:eastAsia="en-GB"/>
              </w:rPr>
            </w:pPr>
            <w:r w:rsidRPr="00BB79FA">
              <w:rPr>
                <w:rFonts w:ascii="Arial" w:eastAsia="Arial" w:hAnsi="Arial" w:cs="Arial"/>
                <w:i/>
                <w:iCs/>
                <w:color w:val="000000" w:themeColor="text1"/>
                <w:lang w:eastAsia="en-GB"/>
              </w:rPr>
              <w:t>Only object finance exposures and commodities finance exposures that are assigned the applicable risk weights under paragraphs (2)(a) and (2)(b) of Article 122B of the Credit Risk: Standardised Approach (CRR) Part shall be reported here.</w:t>
            </w:r>
          </w:p>
          <w:p w14:paraId="384CB0FF" w14:textId="77777777" w:rsidR="00C66014" w:rsidRPr="00BB79FA" w:rsidRDefault="00C66014">
            <w:pPr>
              <w:spacing w:after="0" w:line="240" w:lineRule="auto"/>
              <w:rPr>
                <w:rFonts w:ascii="Arial" w:eastAsia="Times New Roman" w:hAnsi="Arial" w:cs="Arial"/>
                <w:b/>
                <w:bCs/>
                <w:i/>
                <w:iCs/>
                <w:color w:val="000000"/>
                <w:kern w:val="0"/>
                <w:lang w:eastAsia="en-GB"/>
                <w14:ligatures w14:val="none"/>
              </w:rPr>
            </w:pPr>
          </w:p>
        </w:tc>
      </w:tr>
      <w:bookmarkEnd w:id="1"/>
    </w:tbl>
    <w:p w14:paraId="678ADEFA" w14:textId="77777777" w:rsidR="00124D33" w:rsidRPr="00BB79FA" w:rsidRDefault="00124D33" w:rsidP="00044262">
      <w:pPr>
        <w:spacing w:after="0"/>
        <w:rPr>
          <w:rFonts w:ascii="Arial" w:hAnsi="Arial" w:cs="Arial"/>
        </w:rPr>
      </w:pPr>
    </w:p>
    <w:sectPr w:rsidR="00124D33" w:rsidRPr="00BB79F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BE5DC" w14:textId="77777777" w:rsidR="00EC419F" w:rsidRDefault="00EC419F" w:rsidP="00DC5849">
      <w:pPr>
        <w:spacing w:after="0" w:line="240" w:lineRule="auto"/>
      </w:pPr>
      <w:r>
        <w:separator/>
      </w:r>
    </w:p>
  </w:endnote>
  <w:endnote w:type="continuationSeparator" w:id="0">
    <w:p w14:paraId="1F2D91C3" w14:textId="77777777" w:rsidR="00EC419F" w:rsidRDefault="00EC419F" w:rsidP="00DC5849">
      <w:pPr>
        <w:spacing w:after="0" w:line="240" w:lineRule="auto"/>
      </w:pPr>
      <w:r>
        <w:continuationSeparator/>
      </w:r>
    </w:p>
  </w:endnote>
  <w:endnote w:type="continuationNotice" w:id="1">
    <w:p w14:paraId="0290EEAF" w14:textId="77777777" w:rsidR="00EC419F" w:rsidRDefault="00EC41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EUAlbertina">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985274"/>
      <w:docPartObj>
        <w:docPartGallery w:val="Page Numbers (Bottom of Page)"/>
        <w:docPartUnique/>
      </w:docPartObj>
    </w:sdtPr>
    <w:sdtEndPr>
      <w:rPr>
        <w:noProof/>
      </w:rPr>
    </w:sdtEndPr>
    <w:sdtContent>
      <w:p w14:paraId="28D4D890" w14:textId="6DBD74FE" w:rsidR="00DC5849" w:rsidRDefault="00DC58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D479E8" w14:textId="77777777" w:rsidR="00DC5849" w:rsidRDefault="00DC5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1A464" w14:textId="77777777" w:rsidR="00EC419F" w:rsidRDefault="00EC419F" w:rsidP="00DC5849">
      <w:pPr>
        <w:spacing w:after="0" w:line="240" w:lineRule="auto"/>
      </w:pPr>
      <w:r>
        <w:separator/>
      </w:r>
    </w:p>
  </w:footnote>
  <w:footnote w:type="continuationSeparator" w:id="0">
    <w:p w14:paraId="6FC01A3E" w14:textId="77777777" w:rsidR="00EC419F" w:rsidRDefault="00EC419F" w:rsidP="00DC5849">
      <w:pPr>
        <w:spacing w:after="0" w:line="240" w:lineRule="auto"/>
      </w:pPr>
      <w:r>
        <w:continuationSeparator/>
      </w:r>
    </w:p>
  </w:footnote>
  <w:footnote w:type="continuationNotice" w:id="1">
    <w:p w14:paraId="34C325AB" w14:textId="77777777" w:rsidR="00EC419F" w:rsidRDefault="00EC419F">
      <w:pPr>
        <w:spacing w:after="0" w:line="240" w:lineRule="auto"/>
      </w:pPr>
    </w:p>
  </w:footnote>
  <w:footnote w:id="2">
    <w:p w14:paraId="0CA669A8" w14:textId="085D544F" w:rsidR="00095537" w:rsidRDefault="00095537">
      <w:pPr>
        <w:pStyle w:val="FootnoteText"/>
      </w:pPr>
      <w:r>
        <w:rPr>
          <w:rStyle w:val="FootnoteReference"/>
        </w:rPr>
        <w:footnoteRef/>
      </w:r>
      <w:r>
        <w:t xml:space="preserve"> SDDT and SDDT consolidation entity are defined in the SDDT Regime – General Application Part of the PRA Rulebook. For ease of reading, </w:t>
      </w:r>
      <w:r w:rsidRPr="00981FEB">
        <w:t xml:space="preserve">any references to SDDT(s) hereafter in </w:t>
      </w:r>
      <w:r>
        <w:t xml:space="preserve">these instructions </w:t>
      </w:r>
      <w:r w:rsidRPr="00981FEB">
        <w:t>should be treated as applicable to both SDDTs and SDDT consolidation entities</w:t>
      </w:r>
      <w:r>
        <w:t>, where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9186" w14:textId="77777777" w:rsidR="004C55E8" w:rsidRDefault="004C55E8" w:rsidP="004C55E8">
    <w:pPr>
      <w:pStyle w:val="Header"/>
    </w:pPr>
    <w:r w:rsidRPr="004C55E8">
      <w:rPr>
        <w:color w:val="FF0000"/>
        <w:sz w:val="18"/>
        <w:szCs w:val="18"/>
      </w:rPr>
      <w:t>This is near-final material effective from 1 January 2027 to accompany PS20/25. Please see:  www.bankofengland.co.uk/prudential-regulation/publication/2025/october/the-strong-and-simple-framework-the-simplified-capital-regime-for-sddt-policy-statement</w:t>
    </w:r>
    <w:r>
      <w:rPr>
        <w:noProof/>
      </w:rPr>
      <w:drawing>
        <wp:inline distT="0" distB="0" distL="0" distR="0" wp14:anchorId="3632A1BD" wp14:editId="22712E3A">
          <wp:extent cx="3473450" cy="450797"/>
          <wp:effectExtent l="0" t="0" r="0" b="6985"/>
          <wp:docPr id="167872084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20841" name="Picture 1" descr="A close 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3601" cy="454710"/>
                  </a:xfrm>
                  <a:prstGeom prst="rect">
                    <a:avLst/>
                  </a:prstGeom>
                  <a:noFill/>
                  <a:ln>
                    <a:noFill/>
                  </a:ln>
                </pic:spPr>
              </pic:pic>
            </a:graphicData>
          </a:graphic>
        </wp:inline>
      </w:drawing>
    </w:r>
  </w:p>
  <w:p w14:paraId="6237E4F8" w14:textId="77777777" w:rsidR="004C55E8" w:rsidRDefault="004C55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256A" w14:textId="4588044B" w:rsidR="00AF2E22" w:rsidRDefault="004C55E8">
    <w:pPr>
      <w:pStyle w:val="Header"/>
    </w:pPr>
    <w:r w:rsidRPr="004C55E8">
      <w:rPr>
        <w:color w:val="FF0000"/>
        <w:sz w:val="18"/>
        <w:szCs w:val="18"/>
      </w:rPr>
      <w:t>This is near-final material effective from 1 January 2027 to accompany PS20/25. Please see:  www.bankofengland.co.uk/prudential-regulation/publication/2025/october/the-strong-and-simple-framework-the-simplified-capital-regime-for-sddt-policy-statement</w:t>
    </w:r>
    <w:r w:rsidR="00AF2E22">
      <w:rPr>
        <w:noProof/>
      </w:rPr>
      <w:drawing>
        <wp:inline distT="0" distB="0" distL="0" distR="0" wp14:anchorId="42CCAB04" wp14:editId="66658E8A">
          <wp:extent cx="3473450" cy="450797"/>
          <wp:effectExtent l="0" t="0" r="0" b="6985"/>
          <wp:docPr id="1301047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3601" cy="4547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B4E80"/>
    <w:multiLevelType w:val="hybridMultilevel"/>
    <w:tmpl w:val="FFFFFFFF"/>
    <w:lvl w:ilvl="0" w:tplc="FFFFFFFF">
      <w:start w:val="1"/>
      <w:numFmt w:val="lowerRoman"/>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4033A"/>
    <w:multiLevelType w:val="hybridMultilevel"/>
    <w:tmpl w:val="FFFFFFFF"/>
    <w:lvl w:ilvl="0" w:tplc="69AA0414">
      <w:start w:val="1"/>
      <w:numFmt w:val="lowerLetter"/>
      <w:lvlText w:val="(%1)"/>
      <w:lvlJc w:val="left"/>
      <w:pPr>
        <w:ind w:left="720" w:hanging="360"/>
      </w:pPr>
    </w:lvl>
    <w:lvl w:ilvl="1" w:tplc="B33EE90A">
      <w:start w:val="1"/>
      <w:numFmt w:val="lowerLetter"/>
      <w:lvlText w:val="%2."/>
      <w:lvlJc w:val="left"/>
      <w:pPr>
        <w:ind w:left="1440" w:hanging="360"/>
      </w:pPr>
    </w:lvl>
    <w:lvl w:ilvl="2" w:tplc="CA0830B6">
      <w:start w:val="1"/>
      <w:numFmt w:val="lowerRoman"/>
      <w:lvlText w:val="%3."/>
      <w:lvlJc w:val="right"/>
      <w:pPr>
        <w:ind w:left="2160" w:hanging="180"/>
      </w:pPr>
    </w:lvl>
    <w:lvl w:ilvl="3" w:tplc="32E4D8DE">
      <w:start w:val="1"/>
      <w:numFmt w:val="decimal"/>
      <w:lvlText w:val="%4."/>
      <w:lvlJc w:val="left"/>
      <w:pPr>
        <w:ind w:left="2880" w:hanging="360"/>
      </w:pPr>
    </w:lvl>
    <w:lvl w:ilvl="4" w:tplc="498279FA">
      <w:start w:val="1"/>
      <w:numFmt w:val="lowerLetter"/>
      <w:lvlText w:val="%5."/>
      <w:lvlJc w:val="left"/>
      <w:pPr>
        <w:ind w:left="3600" w:hanging="360"/>
      </w:pPr>
    </w:lvl>
    <w:lvl w:ilvl="5" w:tplc="04BCFC7C">
      <w:start w:val="1"/>
      <w:numFmt w:val="lowerRoman"/>
      <w:lvlText w:val="%6."/>
      <w:lvlJc w:val="right"/>
      <w:pPr>
        <w:ind w:left="4320" w:hanging="180"/>
      </w:pPr>
    </w:lvl>
    <w:lvl w:ilvl="6" w:tplc="C9A08694">
      <w:start w:val="1"/>
      <w:numFmt w:val="decimal"/>
      <w:lvlText w:val="%7."/>
      <w:lvlJc w:val="left"/>
      <w:pPr>
        <w:ind w:left="5040" w:hanging="360"/>
      </w:pPr>
    </w:lvl>
    <w:lvl w:ilvl="7" w:tplc="4A867D42">
      <w:start w:val="1"/>
      <w:numFmt w:val="lowerLetter"/>
      <w:lvlText w:val="%8."/>
      <w:lvlJc w:val="left"/>
      <w:pPr>
        <w:ind w:left="5760" w:hanging="360"/>
      </w:pPr>
    </w:lvl>
    <w:lvl w:ilvl="8" w:tplc="D082BF62">
      <w:start w:val="1"/>
      <w:numFmt w:val="lowerRoman"/>
      <w:lvlText w:val="%9."/>
      <w:lvlJc w:val="right"/>
      <w:pPr>
        <w:ind w:left="6480" w:hanging="180"/>
      </w:pPr>
    </w:lvl>
  </w:abstractNum>
  <w:abstractNum w:abstractNumId="6" w15:restartNumberingAfterBreak="0">
    <w:nsid w:val="0C315E53"/>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CFA0260"/>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E7E2B5C"/>
    <w:multiLevelType w:val="hybridMultilevel"/>
    <w:tmpl w:val="FFFFFFFF"/>
    <w:lvl w:ilvl="0" w:tplc="FFFFFFFF">
      <w:start w:val="1"/>
      <w:numFmt w:val="lowerRoman"/>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 w15:restartNumberingAfterBreak="0">
    <w:nsid w:val="0F2A034B"/>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11" w15:restartNumberingAfterBreak="0">
    <w:nsid w:val="15F5AE1B"/>
    <w:multiLevelType w:val="hybridMultilevel"/>
    <w:tmpl w:val="089A7636"/>
    <w:lvl w:ilvl="0" w:tplc="6CF0CFD2">
      <w:start w:val="1"/>
      <w:numFmt w:val="lowerLetter"/>
      <w:lvlText w:val="(%1)"/>
      <w:lvlJc w:val="left"/>
      <w:pPr>
        <w:ind w:left="720" w:hanging="360"/>
      </w:pPr>
    </w:lvl>
    <w:lvl w:ilvl="1" w:tplc="207C900A">
      <w:start w:val="1"/>
      <w:numFmt w:val="lowerLetter"/>
      <w:lvlText w:val="%2."/>
      <w:lvlJc w:val="left"/>
      <w:pPr>
        <w:ind w:left="1440" w:hanging="360"/>
      </w:pPr>
    </w:lvl>
    <w:lvl w:ilvl="2" w:tplc="7A52125A">
      <w:start w:val="1"/>
      <w:numFmt w:val="lowerRoman"/>
      <w:lvlText w:val="%3."/>
      <w:lvlJc w:val="right"/>
      <w:pPr>
        <w:ind w:left="2160" w:hanging="180"/>
      </w:pPr>
    </w:lvl>
    <w:lvl w:ilvl="3" w:tplc="771265F6">
      <w:start w:val="1"/>
      <w:numFmt w:val="decimal"/>
      <w:lvlText w:val="%4."/>
      <w:lvlJc w:val="left"/>
      <w:pPr>
        <w:ind w:left="2880" w:hanging="360"/>
      </w:pPr>
    </w:lvl>
    <w:lvl w:ilvl="4" w:tplc="27F436D6">
      <w:start w:val="1"/>
      <w:numFmt w:val="lowerLetter"/>
      <w:lvlText w:val="%5."/>
      <w:lvlJc w:val="left"/>
      <w:pPr>
        <w:ind w:left="3600" w:hanging="360"/>
      </w:pPr>
    </w:lvl>
    <w:lvl w:ilvl="5" w:tplc="0166059C">
      <w:start w:val="1"/>
      <w:numFmt w:val="lowerRoman"/>
      <w:lvlText w:val="%6."/>
      <w:lvlJc w:val="right"/>
      <w:pPr>
        <w:ind w:left="4320" w:hanging="180"/>
      </w:pPr>
    </w:lvl>
    <w:lvl w:ilvl="6" w:tplc="B22CB612">
      <w:start w:val="1"/>
      <w:numFmt w:val="decimal"/>
      <w:lvlText w:val="%7."/>
      <w:lvlJc w:val="left"/>
      <w:pPr>
        <w:ind w:left="5040" w:hanging="360"/>
      </w:pPr>
    </w:lvl>
    <w:lvl w:ilvl="7" w:tplc="6562B5F6">
      <w:start w:val="1"/>
      <w:numFmt w:val="lowerLetter"/>
      <w:lvlText w:val="%8."/>
      <w:lvlJc w:val="left"/>
      <w:pPr>
        <w:ind w:left="5760" w:hanging="360"/>
      </w:pPr>
    </w:lvl>
    <w:lvl w:ilvl="8" w:tplc="224AF5FE">
      <w:start w:val="1"/>
      <w:numFmt w:val="lowerRoman"/>
      <w:lvlText w:val="%9."/>
      <w:lvlJc w:val="right"/>
      <w:pPr>
        <w:ind w:left="6480" w:hanging="180"/>
      </w:pPr>
    </w:lvl>
  </w:abstractNum>
  <w:abstractNum w:abstractNumId="12" w15:restartNumberingAfterBreak="0">
    <w:nsid w:val="184D57A3"/>
    <w:multiLevelType w:val="hybridMultilevel"/>
    <w:tmpl w:val="828EF33C"/>
    <w:lvl w:ilvl="0" w:tplc="E82225DA">
      <w:start w:val="1"/>
      <w:numFmt w:val="lowerLetter"/>
      <w:lvlText w:val="(%1)"/>
      <w:lvlJc w:val="left"/>
      <w:pPr>
        <w:ind w:left="720" w:hanging="360"/>
      </w:pPr>
    </w:lvl>
    <w:lvl w:ilvl="1" w:tplc="70A28FA8">
      <w:start w:val="1"/>
      <w:numFmt w:val="lowerLetter"/>
      <w:lvlText w:val="%2."/>
      <w:lvlJc w:val="left"/>
      <w:pPr>
        <w:ind w:left="1440" w:hanging="360"/>
      </w:pPr>
    </w:lvl>
    <w:lvl w:ilvl="2" w:tplc="978A0F24">
      <w:start w:val="1"/>
      <w:numFmt w:val="lowerRoman"/>
      <w:lvlText w:val="%3."/>
      <w:lvlJc w:val="right"/>
      <w:pPr>
        <w:ind w:left="2160" w:hanging="180"/>
      </w:pPr>
    </w:lvl>
    <w:lvl w:ilvl="3" w:tplc="5D620CC2">
      <w:start w:val="1"/>
      <w:numFmt w:val="decimal"/>
      <w:lvlText w:val="%4."/>
      <w:lvlJc w:val="left"/>
      <w:pPr>
        <w:ind w:left="2880" w:hanging="360"/>
      </w:pPr>
    </w:lvl>
    <w:lvl w:ilvl="4" w:tplc="BFEC5F8E">
      <w:start w:val="1"/>
      <w:numFmt w:val="lowerLetter"/>
      <w:lvlText w:val="%5."/>
      <w:lvlJc w:val="left"/>
      <w:pPr>
        <w:ind w:left="3600" w:hanging="360"/>
      </w:pPr>
    </w:lvl>
    <w:lvl w:ilvl="5" w:tplc="4F34FF32">
      <w:start w:val="1"/>
      <w:numFmt w:val="lowerRoman"/>
      <w:lvlText w:val="%6."/>
      <w:lvlJc w:val="right"/>
      <w:pPr>
        <w:ind w:left="4320" w:hanging="180"/>
      </w:pPr>
    </w:lvl>
    <w:lvl w:ilvl="6" w:tplc="B0E01A86">
      <w:start w:val="1"/>
      <w:numFmt w:val="decimal"/>
      <w:lvlText w:val="%7."/>
      <w:lvlJc w:val="left"/>
      <w:pPr>
        <w:ind w:left="5040" w:hanging="360"/>
      </w:pPr>
    </w:lvl>
    <w:lvl w:ilvl="7" w:tplc="E0BC2CAE">
      <w:start w:val="1"/>
      <w:numFmt w:val="lowerLetter"/>
      <w:lvlText w:val="%8."/>
      <w:lvlJc w:val="left"/>
      <w:pPr>
        <w:ind w:left="5760" w:hanging="360"/>
      </w:pPr>
    </w:lvl>
    <w:lvl w:ilvl="8" w:tplc="70C6C75A">
      <w:start w:val="1"/>
      <w:numFmt w:val="lowerRoman"/>
      <w:lvlText w:val="%9."/>
      <w:lvlJc w:val="right"/>
      <w:pPr>
        <w:ind w:left="6480" w:hanging="180"/>
      </w:pPr>
    </w:lvl>
  </w:abstractNum>
  <w:abstractNum w:abstractNumId="13" w15:restartNumberingAfterBreak="0">
    <w:nsid w:val="1AD8CC5E"/>
    <w:multiLevelType w:val="hybridMultilevel"/>
    <w:tmpl w:val="266C87BE"/>
    <w:lvl w:ilvl="0" w:tplc="FB2AFCCA">
      <w:start w:val="1"/>
      <w:numFmt w:val="lowerLetter"/>
      <w:lvlText w:val="(%1)"/>
      <w:lvlJc w:val="left"/>
      <w:pPr>
        <w:ind w:left="720" w:hanging="360"/>
      </w:pPr>
    </w:lvl>
    <w:lvl w:ilvl="1" w:tplc="5C72E0EA">
      <w:start w:val="1"/>
      <w:numFmt w:val="lowerLetter"/>
      <w:lvlText w:val="%2."/>
      <w:lvlJc w:val="left"/>
      <w:pPr>
        <w:ind w:left="1440" w:hanging="360"/>
      </w:pPr>
    </w:lvl>
    <w:lvl w:ilvl="2" w:tplc="05AE4EF4">
      <w:start w:val="1"/>
      <w:numFmt w:val="lowerRoman"/>
      <w:lvlText w:val="%3."/>
      <w:lvlJc w:val="right"/>
      <w:pPr>
        <w:ind w:left="2160" w:hanging="180"/>
      </w:pPr>
    </w:lvl>
    <w:lvl w:ilvl="3" w:tplc="7374A4BA">
      <w:start w:val="1"/>
      <w:numFmt w:val="decimal"/>
      <w:lvlText w:val="%4."/>
      <w:lvlJc w:val="left"/>
      <w:pPr>
        <w:ind w:left="2880" w:hanging="360"/>
      </w:pPr>
    </w:lvl>
    <w:lvl w:ilvl="4" w:tplc="F1FAA22C">
      <w:start w:val="1"/>
      <w:numFmt w:val="lowerLetter"/>
      <w:lvlText w:val="%5."/>
      <w:lvlJc w:val="left"/>
      <w:pPr>
        <w:ind w:left="3600" w:hanging="360"/>
      </w:pPr>
    </w:lvl>
    <w:lvl w:ilvl="5" w:tplc="DC54FC40">
      <w:start w:val="1"/>
      <w:numFmt w:val="lowerRoman"/>
      <w:lvlText w:val="%6."/>
      <w:lvlJc w:val="right"/>
      <w:pPr>
        <w:ind w:left="4320" w:hanging="180"/>
      </w:pPr>
    </w:lvl>
    <w:lvl w:ilvl="6" w:tplc="C1BCC82E">
      <w:start w:val="1"/>
      <w:numFmt w:val="decimal"/>
      <w:lvlText w:val="%7."/>
      <w:lvlJc w:val="left"/>
      <w:pPr>
        <w:ind w:left="5040" w:hanging="360"/>
      </w:pPr>
    </w:lvl>
    <w:lvl w:ilvl="7" w:tplc="323C9634">
      <w:start w:val="1"/>
      <w:numFmt w:val="lowerLetter"/>
      <w:lvlText w:val="%8."/>
      <w:lvlJc w:val="left"/>
      <w:pPr>
        <w:ind w:left="5760" w:hanging="360"/>
      </w:pPr>
    </w:lvl>
    <w:lvl w:ilvl="8" w:tplc="BE5A3A64">
      <w:start w:val="1"/>
      <w:numFmt w:val="lowerRoman"/>
      <w:lvlText w:val="%9."/>
      <w:lvlJc w:val="right"/>
      <w:pPr>
        <w:ind w:left="6480" w:hanging="180"/>
      </w:pPr>
    </w:lvl>
  </w:abstractNum>
  <w:abstractNum w:abstractNumId="14"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5" w15:restartNumberingAfterBreak="0">
    <w:nsid w:val="22125B89"/>
    <w:multiLevelType w:val="hybridMultilevel"/>
    <w:tmpl w:val="FFFFFFFF"/>
    <w:lvl w:ilvl="0" w:tplc="34585CF0">
      <w:start w:val="1"/>
      <w:numFmt w:val="lowerLetter"/>
      <w:lvlText w:val="(%1)"/>
      <w:lvlJc w:val="left"/>
      <w:pPr>
        <w:ind w:left="720" w:hanging="360"/>
      </w:pPr>
    </w:lvl>
    <w:lvl w:ilvl="1" w:tplc="C3C4B94A">
      <w:start w:val="1"/>
      <w:numFmt w:val="lowerLetter"/>
      <w:lvlText w:val="%2."/>
      <w:lvlJc w:val="left"/>
      <w:pPr>
        <w:ind w:left="1440" w:hanging="360"/>
      </w:pPr>
    </w:lvl>
    <w:lvl w:ilvl="2" w:tplc="ECF4FF4A">
      <w:start w:val="1"/>
      <w:numFmt w:val="lowerRoman"/>
      <w:lvlText w:val="%3."/>
      <w:lvlJc w:val="right"/>
      <w:pPr>
        <w:ind w:left="2160" w:hanging="180"/>
      </w:pPr>
    </w:lvl>
    <w:lvl w:ilvl="3" w:tplc="881E8FFA">
      <w:start w:val="1"/>
      <w:numFmt w:val="decimal"/>
      <w:lvlText w:val="%4."/>
      <w:lvlJc w:val="left"/>
      <w:pPr>
        <w:ind w:left="2880" w:hanging="360"/>
      </w:pPr>
    </w:lvl>
    <w:lvl w:ilvl="4" w:tplc="D7242164">
      <w:start w:val="1"/>
      <w:numFmt w:val="lowerLetter"/>
      <w:lvlText w:val="%5."/>
      <w:lvlJc w:val="left"/>
      <w:pPr>
        <w:ind w:left="3600" w:hanging="360"/>
      </w:pPr>
    </w:lvl>
    <w:lvl w:ilvl="5" w:tplc="7B76F926">
      <w:start w:val="1"/>
      <w:numFmt w:val="lowerRoman"/>
      <w:lvlText w:val="%6."/>
      <w:lvlJc w:val="right"/>
      <w:pPr>
        <w:ind w:left="4320" w:hanging="180"/>
      </w:pPr>
    </w:lvl>
    <w:lvl w:ilvl="6" w:tplc="DF569DDE">
      <w:start w:val="1"/>
      <w:numFmt w:val="decimal"/>
      <w:lvlText w:val="%7."/>
      <w:lvlJc w:val="left"/>
      <w:pPr>
        <w:ind w:left="5040" w:hanging="360"/>
      </w:pPr>
    </w:lvl>
    <w:lvl w:ilvl="7" w:tplc="BA085098">
      <w:start w:val="1"/>
      <w:numFmt w:val="lowerLetter"/>
      <w:lvlText w:val="%8."/>
      <w:lvlJc w:val="left"/>
      <w:pPr>
        <w:ind w:left="5760" w:hanging="360"/>
      </w:pPr>
    </w:lvl>
    <w:lvl w:ilvl="8" w:tplc="57E437E4">
      <w:start w:val="1"/>
      <w:numFmt w:val="lowerRoman"/>
      <w:lvlText w:val="%9."/>
      <w:lvlJc w:val="right"/>
      <w:pPr>
        <w:ind w:left="6480" w:hanging="180"/>
      </w:pPr>
    </w:lvl>
  </w:abstractNum>
  <w:abstractNum w:abstractNumId="16" w15:restartNumberingAfterBreak="0">
    <w:nsid w:val="237870FC"/>
    <w:multiLevelType w:val="multilevel"/>
    <w:tmpl w:val="6DBC1D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392144"/>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7100BE1"/>
    <w:multiLevelType w:val="hybridMultilevel"/>
    <w:tmpl w:val="FFFFFFFF"/>
    <w:lvl w:ilvl="0" w:tplc="9C001594">
      <w:start w:val="1"/>
      <w:numFmt w:val="lowerLetter"/>
      <w:lvlText w:val="(%1)"/>
      <w:lvlJc w:val="left"/>
      <w:pPr>
        <w:ind w:left="720" w:hanging="360"/>
      </w:pPr>
    </w:lvl>
    <w:lvl w:ilvl="1" w:tplc="1B40D7E4">
      <w:start w:val="1"/>
      <w:numFmt w:val="lowerLetter"/>
      <w:lvlText w:val="%2."/>
      <w:lvlJc w:val="left"/>
      <w:pPr>
        <w:ind w:left="1440" w:hanging="360"/>
      </w:pPr>
    </w:lvl>
    <w:lvl w:ilvl="2" w:tplc="D5D297F8">
      <w:start w:val="1"/>
      <w:numFmt w:val="lowerRoman"/>
      <w:lvlText w:val="%3."/>
      <w:lvlJc w:val="right"/>
      <w:pPr>
        <w:ind w:left="2160" w:hanging="180"/>
      </w:pPr>
    </w:lvl>
    <w:lvl w:ilvl="3" w:tplc="7D78D5EC">
      <w:start w:val="1"/>
      <w:numFmt w:val="decimal"/>
      <w:lvlText w:val="%4."/>
      <w:lvlJc w:val="left"/>
      <w:pPr>
        <w:ind w:left="2880" w:hanging="360"/>
      </w:pPr>
    </w:lvl>
    <w:lvl w:ilvl="4" w:tplc="745A04BC">
      <w:start w:val="1"/>
      <w:numFmt w:val="lowerLetter"/>
      <w:lvlText w:val="%5."/>
      <w:lvlJc w:val="left"/>
      <w:pPr>
        <w:ind w:left="3600" w:hanging="360"/>
      </w:pPr>
    </w:lvl>
    <w:lvl w:ilvl="5" w:tplc="070CD3BA">
      <w:start w:val="1"/>
      <w:numFmt w:val="lowerRoman"/>
      <w:lvlText w:val="%6."/>
      <w:lvlJc w:val="right"/>
      <w:pPr>
        <w:ind w:left="4320" w:hanging="180"/>
      </w:pPr>
    </w:lvl>
    <w:lvl w:ilvl="6" w:tplc="13B2D4BE">
      <w:start w:val="1"/>
      <w:numFmt w:val="decimal"/>
      <w:lvlText w:val="%7."/>
      <w:lvlJc w:val="left"/>
      <w:pPr>
        <w:ind w:left="5040" w:hanging="360"/>
      </w:pPr>
    </w:lvl>
    <w:lvl w:ilvl="7" w:tplc="1E1C790E">
      <w:start w:val="1"/>
      <w:numFmt w:val="lowerLetter"/>
      <w:lvlText w:val="%8."/>
      <w:lvlJc w:val="left"/>
      <w:pPr>
        <w:ind w:left="5760" w:hanging="360"/>
      </w:pPr>
    </w:lvl>
    <w:lvl w:ilvl="8" w:tplc="AD54E4B2">
      <w:start w:val="1"/>
      <w:numFmt w:val="lowerRoman"/>
      <w:lvlText w:val="%9."/>
      <w:lvlJc w:val="right"/>
      <w:pPr>
        <w:ind w:left="6480" w:hanging="180"/>
      </w:pPr>
    </w:lvl>
  </w:abstractNum>
  <w:abstractNum w:abstractNumId="19"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21" w15:restartNumberingAfterBreak="0">
    <w:nsid w:val="2DF189ED"/>
    <w:multiLevelType w:val="hybridMultilevel"/>
    <w:tmpl w:val="CE289510"/>
    <w:lvl w:ilvl="0" w:tplc="2C922B50">
      <w:start w:val="1"/>
      <w:numFmt w:val="lowerLetter"/>
      <w:lvlText w:val="(%1)"/>
      <w:lvlJc w:val="left"/>
      <w:pPr>
        <w:ind w:left="720" w:hanging="360"/>
      </w:pPr>
    </w:lvl>
    <w:lvl w:ilvl="1" w:tplc="F0628ECC">
      <w:start w:val="1"/>
      <w:numFmt w:val="lowerLetter"/>
      <w:lvlText w:val="%2."/>
      <w:lvlJc w:val="left"/>
      <w:pPr>
        <w:ind w:left="1440" w:hanging="360"/>
      </w:pPr>
    </w:lvl>
    <w:lvl w:ilvl="2" w:tplc="96E42E68">
      <w:start w:val="1"/>
      <w:numFmt w:val="lowerRoman"/>
      <w:lvlText w:val="%3."/>
      <w:lvlJc w:val="right"/>
      <w:pPr>
        <w:ind w:left="2160" w:hanging="180"/>
      </w:pPr>
    </w:lvl>
    <w:lvl w:ilvl="3" w:tplc="9372EF4C">
      <w:start w:val="1"/>
      <w:numFmt w:val="decimal"/>
      <w:lvlText w:val="%4."/>
      <w:lvlJc w:val="left"/>
      <w:pPr>
        <w:ind w:left="2880" w:hanging="360"/>
      </w:pPr>
    </w:lvl>
    <w:lvl w:ilvl="4" w:tplc="DC8EEE44">
      <w:start w:val="1"/>
      <w:numFmt w:val="lowerLetter"/>
      <w:lvlText w:val="%5."/>
      <w:lvlJc w:val="left"/>
      <w:pPr>
        <w:ind w:left="3600" w:hanging="360"/>
      </w:pPr>
    </w:lvl>
    <w:lvl w:ilvl="5" w:tplc="3F226BCE">
      <w:start w:val="1"/>
      <w:numFmt w:val="lowerRoman"/>
      <w:lvlText w:val="%6."/>
      <w:lvlJc w:val="right"/>
      <w:pPr>
        <w:ind w:left="4320" w:hanging="180"/>
      </w:pPr>
    </w:lvl>
    <w:lvl w:ilvl="6" w:tplc="3AC64560">
      <w:start w:val="1"/>
      <w:numFmt w:val="decimal"/>
      <w:lvlText w:val="%7."/>
      <w:lvlJc w:val="left"/>
      <w:pPr>
        <w:ind w:left="5040" w:hanging="360"/>
      </w:pPr>
    </w:lvl>
    <w:lvl w:ilvl="7" w:tplc="C1A2FB2E">
      <w:start w:val="1"/>
      <w:numFmt w:val="lowerLetter"/>
      <w:lvlText w:val="%8."/>
      <w:lvlJc w:val="left"/>
      <w:pPr>
        <w:ind w:left="5760" w:hanging="360"/>
      </w:pPr>
    </w:lvl>
    <w:lvl w:ilvl="8" w:tplc="958463F4">
      <w:start w:val="1"/>
      <w:numFmt w:val="lowerRoman"/>
      <w:lvlText w:val="%9."/>
      <w:lvlJc w:val="right"/>
      <w:pPr>
        <w:ind w:left="6480" w:hanging="180"/>
      </w:pPr>
    </w:lvl>
  </w:abstractNum>
  <w:abstractNum w:abstractNumId="22"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3" w15:restartNumberingAfterBreak="0">
    <w:nsid w:val="352A1A8C"/>
    <w:multiLevelType w:val="hybridMultilevel"/>
    <w:tmpl w:val="FFFFFFFF"/>
    <w:lvl w:ilvl="0" w:tplc="57246DBE">
      <w:start w:val="1"/>
      <w:numFmt w:val="lowerLetter"/>
      <w:lvlText w:val="(%1)"/>
      <w:lvlJc w:val="left"/>
      <w:pPr>
        <w:ind w:left="720" w:hanging="360"/>
      </w:pPr>
    </w:lvl>
    <w:lvl w:ilvl="1" w:tplc="8AC04AC2">
      <w:start w:val="1"/>
      <w:numFmt w:val="lowerLetter"/>
      <w:lvlText w:val="%2."/>
      <w:lvlJc w:val="left"/>
      <w:pPr>
        <w:ind w:left="1440" w:hanging="360"/>
      </w:pPr>
    </w:lvl>
    <w:lvl w:ilvl="2" w:tplc="5F7A469A">
      <w:start w:val="1"/>
      <w:numFmt w:val="lowerRoman"/>
      <w:lvlText w:val="%3."/>
      <w:lvlJc w:val="right"/>
      <w:pPr>
        <w:ind w:left="2160" w:hanging="180"/>
      </w:pPr>
    </w:lvl>
    <w:lvl w:ilvl="3" w:tplc="DBE458DE">
      <w:start w:val="1"/>
      <w:numFmt w:val="decimal"/>
      <w:lvlText w:val="%4."/>
      <w:lvlJc w:val="left"/>
      <w:pPr>
        <w:ind w:left="2880" w:hanging="360"/>
      </w:pPr>
    </w:lvl>
    <w:lvl w:ilvl="4" w:tplc="D376CE96">
      <w:start w:val="1"/>
      <w:numFmt w:val="lowerLetter"/>
      <w:lvlText w:val="%5."/>
      <w:lvlJc w:val="left"/>
      <w:pPr>
        <w:ind w:left="3600" w:hanging="360"/>
      </w:pPr>
    </w:lvl>
    <w:lvl w:ilvl="5" w:tplc="FB0EF58A">
      <w:start w:val="1"/>
      <w:numFmt w:val="lowerRoman"/>
      <w:lvlText w:val="%6."/>
      <w:lvlJc w:val="right"/>
      <w:pPr>
        <w:ind w:left="4320" w:hanging="180"/>
      </w:pPr>
    </w:lvl>
    <w:lvl w:ilvl="6" w:tplc="6CB03E3A">
      <w:start w:val="1"/>
      <w:numFmt w:val="decimal"/>
      <w:lvlText w:val="%7."/>
      <w:lvlJc w:val="left"/>
      <w:pPr>
        <w:ind w:left="5040" w:hanging="360"/>
      </w:pPr>
    </w:lvl>
    <w:lvl w:ilvl="7" w:tplc="B01CA6D0">
      <w:start w:val="1"/>
      <w:numFmt w:val="lowerLetter"/>
      <w:lvlText w:val="%8."/>
      <w:lvlJc w:val="left"/>
      <w:pPr>
        <w:ind w:left="5760" w:hanging="360"/>
      </w:pPr>
    </w:lvl>
    <w:lvl w:ilvl="8" w:tplc="2DB84FB0">
      <w:start w:val="1"/>
      <w:numFmt w:val="lowerRoman"/>
      <w:lvlText w:val="%9."/>
      <w:lvlJc w:val="right"/>
      <w:pPr>
        <w:ind w:left="6480" w:hanging="180"/>
      </w:pPr>
    </w:lvl>
  </w:abstractNum>
  <w:abstractNum w:abstractNumId="24" w15:restartNumberingAfterBreak="0">
    <w:nsid w:val="35BFE13F"/>
    <w:multiLevelType w:val="hybridMultilevel"/>
    <w:tmpl w:val="9AA4FA3A"/>
    <w:styleLink w:val="Formatvorlage3"/>
    <w:lvl w:ilvl="0" w:tplc="4006B368">
      <w:start w:val="1"/>
      <w:numFmt w:val="lowerLetter"/>
      <w:lvlText w:val="(%1)"/>
      <w:lvlJc w:val="left"/>
      <w:pPr>
        <w:ind w:left="720" w:hanging="360"/>
      </w:pPr>
    </w:lvl>
    <w:lvl w:ilvl="1" w:tplc="32A08CCC">
      <w:start w:val="1"/>
      <w:numFmt w:val="lowerLetter"/>
      <w:lvlText w:val="%2."/>
      <w:lvlJc w:val="left"/>
      <w:pPr>
        <w:ind w:left="1440" w:hanging="360"/>
      </w:pPr>
    </w:lvl>
    <w:lvl w:ilvl="2" w:tplc="1966D60C">
      <w:start w:val="1"/>
      <w:numFmt w:val="lowerRoman"/>
      <w:lvlText w:val="%3."/>
      <w:lvlJc w:val="right"/>
      <w:pPr>
        <w:ind w:left="2160" w:hanging="180"/>
      </w:pPr>
    </w:lvl>
    <w:lvl w:ilvl="3" w:tplc="12FE06FA">
      <w:start w:val="1"/>
      <w:numFmt w:val="decimal"/>
      <w:lvlText w:val="%4."/>
      <w:lvlJc w:val="left"/>
      <w:pPr>
        <w:ind w:left="2880" w:hanging="360"/>
      </w:pPr>
    </w:lvl>
    <w:lvl w:ilvl="4" w:tplc="089ED372">
      <w:start w:val="1"/>
      <w:numFmt w:val="lowerLetter"/>
      <w:lvlText w:val="%5."/>
      <w:lvlJc w:val="left"/>
      <w:pPr>
        <w:ind w:left="3600" w:hanging="360"/>
      </w:pPr>
    </w:lvl>
    <w:lvl w:ilvl="5" w:tplc="4F886BBC">
      <w:start w:val="1"/>
      <w:numFmt w:val="lowerRoman"/>
      <w:lvlText w:val="%6."/>
      <w:lvlJc w:val="right"/>
      <w:pPr>
        <w:ind w:left="4320" w:hanging="180"/>
      </w:pPr>
    </w:lvl>
    <w:lvl w:ilvl="6" w:tplc="91306D84">
      <w:start w:val="1"/>
      <w:numFmt w:val="decimal"/>
      <w:lvlText w:val="%7."/>
      <w:lvlJc w:val="left"/>
      <w:pPr>
        <w:ind w:left="5040" w:hanging="360"/>
      </w:pPr>
    </w:lvl>
    <w:lvl w:ilvl="7" w:tplc="C89ECF8E">
      <w:start w:val="1"/>
      <w:numFmt w:val="lowerLetter"/>
      <w:lvlText w:val="%8."/>
      <w:lvlJc w:val="left"/>
      <w:pPr>
        <w:ind w:left="5760" w:hanging="360"/>
      </w:pPr>
    </w:lvl>
    <w:lvl w:ilvl="8" w:tplc="365E33EE">
      <w:start w:val="1"/>
      <w:numFmt w:val="lowerRoman"/>
      <w:lvlText w:val="%9."/>
      <w:lvlJc w:val="right"/>
      <w:pPr>
        <w:ind w:left="6480" w:hanging="180"/>
      </w:pPr>
    </w:lvl>
  </w:abstractNum>
  <w:abstractNum w:abstractNumId="25"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6"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4F6DCE"/>
    <w:multiLevelType w:val="hybridMultilevel"/>
    <w:tmpl w:val="FFFFFFFF"/>
    <w:lvl w:ilvl="0" w:tplc="A5D43288">
      <w:start w:val="1"/>
      <w:numFmt w:val="lowerLetter"/>
      <w:lvlText w:val="(%1)"/>
      <w:lvlJc w:val="left"/>
      <w:pPr>
        <w:ind w:left="720" w:hanging="360"/>
      </w:pPr>
    </w:lvl>
    <w:lvl w:ilvl="1" w:tplc="D65AED4E">
      <w:start w:val="1"/>
      <w:numFmt w:val="lowerLetter"/>
      <w:lvlText w:val="%2."/>
      <w:lvlJc w:val="left"/>
      <w:pPr>
        <w:ind w:left="1440" w:hanging="360"/>
      </w:pPr>
    </w:lvl>
    <w:lvl w:ilvl="2" w:tplc="8DDA5B4E">
      <w:start w:val="1"/>
      <w:numFmt w:val="lowerRoman"/>
      <w:lvlText w:val="%3."/>
      <w:lvlJc w:val="right"/>
      <w:pPr>
        <w:ind w:left="2160" w:hanging="180"/>
      </w:pPr>
    </w:lvl>
    <w:lvl w:ilvl="3" w:tplc="1A6C12B2">
      <w:start w:val="1"/>
      <w:numFmt w:val="decimal"/>
      <w:lvlText w:val="%4."/>
      <w:lvlJc w:val="left"/>
      <w:pPr>
        <w:ind w:left="2880" w:hanging="360"/>
      </w:pPr>
    </w:lvl>
    <w:lvl w:ilvl="4" w:tplc="BC98B8E8">
      <w:start w:val="1"/>
      <w:numFmt w:val="lowerLetter"/>
      <w:lvlText w:val="%5."/>
      <w:lvlJc w:val="left"/>
      <w:pPr>
        <w:ind w:left="3600" w:hanging="360"/>
      </w:pPr>
    </w:lvl>
    <w:lvl w:ilvl="5" w:tplc="32DA359C">
      <w:start w:val="1"/>
      <w:numFmt w:val="lowerRoman"/>
      <w:lvlText w:val="%6."/>
      <w:lvlJc w:val="right"/>
      <w:pPr>
        <w:ind w:left="4320" w:hanging="180"/>
      </w:pPr>
    </w:lvl>
    <w:lvl w:ilvl="6" w:tplc="3382765A">
      <w:start w:val="1"/>
      <w:numFmt w:val="decimal"/>
      <w:lvlText w:val="%7."/>
      <w:lvlJc w:val="left"/>
      <w:pPr>
        <w:ind w:left="5040" w:hanging="360"/>
      </w:pPr>
    </w:lvl>
    <w:lvl w:ilvl="7" w:tplc="00760580">
      <w:start w:val="1"/>
      <w:numFmt w:val="lowerLetter"/>
      <w:lvlText w:val="%8."/>
      <w:lvlJc w:val="left"/>
      <w:pPr>
        <w:ind w:left="5760" w:hanging="360"/>
      </w:pPr>
    </w:lvl>
    <w:lvl w:ilvl="8" w:tplc="7730E332">
      <w:start w:val="1"/>
      <w:numFmt w:val="lowerRoman"/>
      <w:lvlText w:val="%9."/>
      <w:lvlJc w:val="right"/>
      <w:pPr>
        <w:ind w:left="6480" w:hanging="180"/>
      </w:pPr>
    </w:lvl>
  </w:abstractNum>
  <w:abstractNum w:abstractNumId="28" w15:restartNumberingAfterBreak="0">
    <w:nsid w:val="3FFB5678"/>
    <w:multiLevelType w:val="hybridMultilevel"/>
    <w:tmpl w:val="FFFFFFFF"/>
    <w:lvl w:ilvl="0" w:tplc="0FF2073E">
      <w:start w:val="1"/>
      <w:numFmt w:val="lowerLetter"/>
      <w:lvlText w:val="(%1)"/>
      <w:lvlJc w:val="left"/>
      <w:pPr>
        <w:ind w:left="720" w:hanging="360"/>
      </w:pPr>
    </w:lvl>
    <w:lvl w:ilvl="1" w:tplc="54001F3E">
      <w:start w:val="1"/>
      <w:numFmt w:val="lowerLetter"/>
      <w:lvlText w:val="%2."/>
      <w:lvlJc w:val="left"/>
      <w:pPr>
        <w:ind w:left="1440" w:hanging="360"/>
      </w:pPr>
    </w:lvl>
    <w:lvl w:ilvl="2" w:tplc="0438422E">
      <w:start w:val="1"/>
      <w:numFmt w:val="lowerRoman"/>
      <w:lvlText w:val="%3."/>
      <w:lvlJc w:val="right"/>
      <w:pPr>
        <w:ind w:left="2160" w:hanging="180"/>
      </w:pPr>
    </w:lvl>
    <w:lvl w:ilvl="3" w:tplc="51C8D17A">
      <w:start w:val="1"/>
      <w:numFmt w:val="decimal"/>
      <w:lvlText w:val="%4."/>
      <w:lvlJc w:val="left"/>
      <w:pPr>
        <w:ind w:left="2880" w:hanging="360"/>
      </w:pPr>
    </w:lvl>
    <w:lvl w:ilvl="4" w:tplc="DACA2388">
      <w:start w:val="1"/>
      <w:numFmt w:val="lowerLetter"/>
      <w:lvlText w:val="%5."/>
      <w:lvlJc w:val="left"/>
      <w:pPr>
        <w:ind w:left="3600" w:hanging="360"/>
      </w:pPr>
    </w:lvl>
    <w:lvl w:ilvl="5" w:tplc="6CBCFFC2">
      <w:start w:val="1"/>
      <w:numFmt w:val="lowerRoman"/>
      <w:lvlText w:val="%6."/>
      <w:lvlJc w:val="right"/>
      <w:pPr>
        <w:ind w:left="4320" w:hanging="180"/>
      </w:pPr>
    </w:lvl>
    <w:lvl w:ilvl="6" w:tplc="623C2B1A">
      <w:start w:val="1"/>
      <w:numFmt w:val="decimal"/>
      <w:lvlText w:val="%7."/>
      <w:lvlJc w:val="left"/>
      <w:pPr>
        <w:ind w:left="5040" w:hanging="360"/>
      </w:pPr>
    </w:lvl>
    <w:lvl w:ilvl="7" w:tplc="FBB85992">
      <w:start w:val="1"/>
      <w:numFmt w:val="lowerLetter"/>
      <w:lvlText w:val="%8."/>
      <w:lvlJc w:val="left"/>
      <w:pPr>
        <w:ind w:left="5760" w:hanging="360"/>
      </w:pPr>
    </w:lvl>
    <w:lvl w:ilvl="8" w:tplc="BBD42630">
      <w:start w:val="1"/>
      <w:numFmt w:val="lowerRoman"/>
      <w:lvlText w:val="%9."/>
      <w:lvlJc w:val="right"/>
      <w:pPr>
        <w:ind w:left="6480" w:hanging="180"/>
      </w:pPr>
    </w:lvl>
  </w:abstractNum>
  <w:abstractNum w:abstractNumId="29" w15:restartNumberingAfterBreak="0">
    <w:nsid w:val="423FB7DF"/>
    <w:multiLevelType w:val="hybridMultilevel"/>
    <w:tmpl w:val="FFFFFFFF"/>
    <w:lvl w:ilvl="0" w:tplc="B10A572E">
      <w:start w:val="1"/>
      <w:numFmt w:val="lowerLetter"/>
      <w:lvlText w:val="(%1)"/>
      <w:lvlJc w:val="left"/>
      <w:pPr>
        <w:ind w:left="720" w:hanging="360"/>
      </w:pPr>
    </w:lvl>
    <w:lvl w:ilvl="1" w:tplc="1A1269EA">
      <w:start w:val="1"/>
      <w:numFmt w:val="lowerLetter"/>
      <w:lvlText w:val="%2."/>
      <w:lvlJc w:val="left"/>
      <w:pPr>
        <w:ind w:left="1440" w:hanging="360"/>
      </w:pPr>
    </w:lvl>
    <w:lvl w:ilvl="2" w:tplc="AB1E0D82">
      <w:start w:val="1"/>
      <w:numFmt w:val="lowerRoman"/>
      <w:lvlText w:val="%3."/>
      <w:lvlJc w:val="right"/>
      <w:pPr>
        <w:ind w:left="2160" w:hanging="180"/>
      </w:pPr>
    </w:lvl>
    <w:lvl w:ilvl="3" w:tplc="7722CE5C">
      <w:start w:val="1"/>
      <w:numFmt w:val="decimal"/>
      <w:lvlText w:val="%4."/>
      <w:lvlJc w:val="left"/>
      <w:pPr>
        <w:ind w:left="2880" w:hanging="360"/>
      </w:pPr>
    </w:lvl>
    <w:lvl w:ilvl="4" w:tplc="1B107606">
      <w:start w:val="1"/>
      <w:numFmt w:val="lowerLetter"/>
      <w:lvlText w:val="%5."/>
      <w:lvlJc w:val="left"/>
      <w:pPr>
        <w:ind w:left="3600" w:hanging="360"/>
      </w:pPr>
    </w:lvl>
    <w:lvl w:ilvl="5" w:tplc="36026FC2">
      <w:start w:val="1"/>
      <w:numFmt w:val="lowerRoman"/>
      <w:lvlText w:val="%6."/>
      <w:lvlJc w:val="right"/>
      <w:pPr>
        <w:ind w:left="4320" w:hanging="180"/>
      </w:pPr>
    </w:lvl>
    <w:lvl w:ilvl="6" w:tplc="DD047B22">
      <w:start w:val="1"/>
      <w:numFmt w:val="decimal"/>
      <w:lvlText w:val="%7."/>
      <w:lvlJc w:val="left"/>
      <w:pPr>
        <w:ind w:left="5040" w:hanging="360"/>
      </w:pPr>
    </w:lvl>
    <w:lvl w:ilvl="7" w:tplc="6D5607B4">
      <w:start w:val="1"/>
      <w:numFmt w:val="lowerLetter"/>
      <w:lvlText w:val="%8."/>
      <w:lvlJc w:val="left"/>
      <w:pPr>
        <w:ind w:left="5760" w:hanging="360"/>
      </w:pPr>
    </w:lvl>
    <w:lvl w:ilvl="8" w:tplc="CAE2CDFA">
      <w:start w:val="1"/>
      <w:numFmt w:val="lowerRoman"/>
      <w:lvlText w:val="%9."/>
      <w:lvlJc w:val="right"/>
      <w:pPr>
        <w:ind w:left="6480" w:hanging="180"/>
      </w:pPr>
    </w:lvl>
  </w:abstractNum>
  <w:abstractNum w:abstractNumId="30" w15:restartNumberingAfterBreak="0">
    <w:nsid w:val="437F1F64"/>
    <w:multiLevelType w:val="hybridMultilevel"/>
    <w:tmpl w:val="FBAEEE38"/>
    <w:lvl w:ilvl="0" w:tplc="67661EC4">
      <w:start w:val="1"/>
      <w:numFmt w:val="lowerLetter"/>
      <w:lvlText w:val="(%1)"/>
      <w:lvlJc w:val="left"/>
      <w:pPr>
        <w:ind w:left="720" w:hanging="360"/>
      </w:pPr>
    </w:lvl>
    <w:lvl w:ilvl="1" w:tplc="964A1048">
      <w:start w:val="1"/>
      <w:numFmt w:val="lowerLetter"/>
      <w:lvlText w:val="%2."/>
      <w:lvlJc w:val="left"/>
      <w:pPr>
        <w:ind w:left="1440" w:hanging="360"/>
      </w:pPr>
    </w:lvl>
    <w:lvl w:ilvl="2" w:tplc="10CA51D4">
      <w:start w:val="1"/>
      <w:numFmt w:val="lowerRoman"/>
      <w:lvlText w:val="%3."/>
      <w:lvlJc w:val="right"/>
      <w:pPr>
        <w:ind w:left="2160" w:hanging="180"/>
      </w:pPr>
    </w:lvl>
    <w:lvl w:ilvl="3" w:tplc="AB2647DC">
      <w:start w:val="1"/>
      <w:numFmt w:val="decimal"/>
      <w:lvlText w:val="%4."/>
      <w:lvlJc w:val="left"/>
      <w:pPr>
        <w:ind w:left="2880" w:hanging="360"/>
      </w:pPr>
    </w:lvl>
    <w:lvl w:ilvl="4" w:tplc="44BA1538">
      <w:start w:val="1"/>
      <w:numFmt w:val="lowerLetter"/>
      <w:lvlText w:val="%5."/>
      <w:lvlJc w:val="left"/>
      <w:pPr>
        <w:ind w:left="3600" w:hanging="360"/>
      </w:pPr>
    </w:lvl>
    <w:lvl w:ilvl="5" w:tplc="6CD47A68">
      <w:start w:val="1"/>
      <w:numFmt w:val="lowerRoman"/>
      <w:lvlText w:val="%6."/>
      <w:lvlJc w:val="right"/>
      <w:pPr>
        <w:ind w:left="4320" w:hanging="180"/>
      </w:pPr>
    </w:lvl>
    <w:lvl w:ilvl="6" w:tplc="8DB6E334">
      <w:start w:val="1"/>
      <w:numFmt w:val="decimal"/>
      <w:lvlText w:val="%7."/>
      <w:lvlJc w:val="left"/>
      <w:pPr>
        <w:ind w:left="5040" w:hanging="360"/>
      </w:pPr>
    </w:lvl>
    <w:lvl w:ilvl="7" w:tplc="0292FA54">
      <w:start w:val="1"/>
      <w:numFmt w:val="lowerLetter"/>
      <w:lvlText w:val="%8."/>
      <w:lvlJc w:val="left"/>
      <w:pPr>
        <w:ind w:left="5760" w:hanging="360"/>
      </w:pPr>
    </w:lvl>
    <w:lvl w:ilvl="8" w:tplc="2D06BF14">
      <w:start w:val="1"/>
      <w:numFmt w:val="lowerRoman"/>
      <w:lvlText w:val="%9."/>
      <w:lvlJc w:val="right"/>
      <w:pPr>
        <w:ind w:left="6480" w:hanging="180"/>
      </w:pPr>
    </w:lvl>
  </w:abstractNum>
  <w:abstractNum w:abstractNumId="31" w15:restartNumberingAfterBreak="0">
    <w:nsid w:val="441F20B8"/>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BAF3B7"/>
    <w:multiLevelType w:val="hybridMultilevel"/>
    <w:tmpl w:val="FFFFFFFF"/>
    <w:lvl w:ilvl="0" w:tplc="E56AC4D2">
      <w:start w:val="1"/>
      <w:numFmt w:val="lowerLetter"/>
      <w:lvlText w:val="(%1)"/>
      <w:lvlJc w:val="left"/>
      <w:pPr>
        <w:ind w:left="720" w:hanging="360"/>
      </w:pPr>
    </w:lvl>
    <w:lvl w:ilvl="1" w:tplc="5A8AF536">
      <w:start w:val="1"/>
      <w:numFmt w:val="lowerLetter"/>
      <w:lvlText w:val="%2."/>
      <w:lvlJc w:val="left"/>
      <w:pPr>
        <w:ind w:left="1440" w:hanging="360"/>
      </w:pPr>
    </w:lvl>
    <w:lvl w:ilvl="2" w:tplc="E0083F72">
      <w:start w:val="1"/>
      <w:numFmt w:val="lowerRoman"/>
      <w:lvlText w:val="%3."/>
      <w:lvlJc w:val="right"/>
      <w:pPr>
        <w:ind w:left="2160" w:hanging="180"/>
      </w:pPr>
    </w:lvl>
    <w:lvl w:ilvl="3" w:tplc="6322991A">
      <w:start w:val="1"/>
      <w:numFmt w:val="decimal"/>
      <w:lvlText w:val="%4."/>
      <w:lvlJc w:val="left"/>
      <w:pPr>
        <w:ind w:left="2880" w:hanging="360"/>
      </w:pPr>
    </w:lvl>
    <w:lvl w:ilvl="4" w:tplc="1C2653FE">
      <w:start w:val="1"/>
      <w:numFmt w:val="lowerLetter"/>
      <w:lvlText w:val="%5."/>
      <w:lvlJc w:val="left"/>
      <w:pPr>
        <w:ind w:left="3600" w:hanging="360"/>
      </w:pPr>
    </w:lvl>
    <w:lvl w:ilvl="5" w:tplc="BCFA4DE2">
      <w:start w:val="1"/>
      <w:numFmt w:val="lowerRoman"/>
      <w:lvlText w:val="%6."/>
      <w:lvlJc w:val="right"/>
      <w:pPr>
        <w:ind w:left="4320" w:hanging="180"/>
      </w:pPr>
    </w:lvl>
    <w:lvl w:ilvl="6" w:tplc="6FCE93B6">
      <w:start w:val="1"/>
      <w:numFmt w:val="decimal"/>
      <w:lvlText w:val="%7."/>
      <w:lvlJc w:val="left"/>
      <w:pPr>
        <w:ind w:left="5040" w:hanging="360"/>
      </w:pPr>
    </w:lvl>
    <w:lvl w:ilvl="7" w:tplc="4A1C7DC8">
      <w:start w:val="1"/>
      <w:numFmt w:val="lowerLetter"/>
      <w:lvlText w:val="%8."/>
      <w:lvlJc w:val="left"/>
      <w:pPr>
        <w:ind w:left="5760" w:hanging="360"/>
      </w:pPr>
    </w:lvl>
    <w:lvl w:ilvl="8" w:tplc="FEFE0D22">
      <w:start w:val="1"/>
      <w:numFmt w:val="lowerRoman"/>
      <w:lvlText w:val="%9."/>
      <w:lvlJc w:val="right"/>
      <w:pPr>
        <w:ind w:left="6480" w:hanging="180"/>
      </w:pPr>
    </w:lvl>
  </w:abstractNum>
  <w:abstractNum w:abstractNumId="35"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9B3320"/>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58504A66"/>
    <w:multiLevelType w:val="hybridMultilevel"/>
    <w:tmpl w:val="FFFFFFFF"/>
    <w:lvl w:ilvl="0" w:tplc="7C36C7D2">
      <w:start w:val="1"/>
      <w:numFmt w:val="lowerLetter"/>
      <w:lvlText w:val="(%1)"/>
      <w:lvlJc w:val="left"/>
      <w:pPr>
        <w:ind w:left="720" w:hanging="360"/>
      </w:pPr>
    </w:lvl>
    <w:lvl w:ilvl="1" w:tplc="803C13FA">
      <w:start w:val="1"/>
      <w:numFmt w:val="lowerLetter"/>
      <w:lvlText w:val="%2."/>
      <w:lvlJc w:val="left"/>
      <w:pPr>
        <w:ind w:left="1440" w:hanging="360"/>
      </w:pPr>
    </w:lvl>
    <w:lvl w:ilvl="2" w:tplc="E258EE04">
      <w:start w:val="1"/>
      <w:numFmt w:val="lowerRoman"/>
      <w:lvlText w:val="%3."/>
      <w:lvlJc w:val="right"/>
      <w:pPr>
        <w:ind w:left="2160" w:hanging="180"/>
      </w:pPr>
    </w:lvl>
    <w:lvl w:ilvl="3" w:tplc="C02E518C">
      <w:start w:val="1"/>
      <w:numFmt w:val="decimal"/>
      <w:lvlText w:val="%4."/>
      <w:lvlJc w:val="left"/>
      <w:pPr>
        <w:ind w:left="2880" w:hanging="360"/>
      </w:pPr>
    </w:lvl>
    <w:lvl w:ilvl="4" w:tplc="FB84B98C">
      <w:start w:val="1"/>
      <w:numFmt w:val="lowerLetter"/>
      <w:lvlText w:val="%5."/>
      <w:lvlJc w:val="left"/>
      <w:pPr>
        <w:ind w:left="3600" w:hanging="360"/>
      </w:pPr>
    </w:lvl>
    <w:lvl w:ilvl="5" w:tplc="C86A3966">
      <w:start w:val="1"/>
      <w:numFmt w:val="lowerRoman"/>
      <w:lvlText w:val="%6."/>
      <w:lvlJc w:val="right"/>
      <w:pPr>
        <w:ind w:left="4320" w:hanging="180"/>
      </w:pPr>
    </w:lvl>
    <w:lvl w:ilvl="6" w:tplc="8C9483C4">
      <w:start w:val="1"/>
      <w:numFmt w:val="decimal"/>
      <w:lvlText w:val="%7."/>
      <w:lvlJc w:val="left"/>
      <w:pPr>
        <w:ind w:left="5040" w:hanging="360"/>
      </w:pPr>
    </w:lvl>
    <w:lvl w:ilvl="7" w:tplc="8DC2EE86">
      <w:start w:val="1"/>
      <w:numFmt w:val="lowerLetter"/>
      <w:lvlText w:val="%8."/>
      <w:lvlJc w:val="left"/>
      <w:pPr>
        <w:ind w:left="5760" w:hanging="360"/>
      </w:pPr>
    </w:lvl>
    <w:lvl w:ilvl="8" w:tplc="4E6E452E">
      <w:start w:val="1"/>
      <w:numFmt w:val="lowerRoman"/>
      <w:lvlText w:val="%9."/>
      <w:lvlJc w:val="right"/>
      <w:pPr>
        <w:ind w:left="6480" w:hanging="180"/>
      </w:pPr>
    </w:lvl>
  </w:abstractNum>
  <w:abstractNum w:abstractNumId="38" w15:restartNumberingAfterBreak="0">
    <w:nsid w:val="58F61419"/>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5A5D5F37"/>
    <w:multiLevelType w:val="hybridMultilevel"/>
    <w:tmpl w:val="FFFFFFFF"/>
    <w:lvl w:ilvl="0" w:tplc="FFFFFFFF">
      <w:start w:val="1"/>
      <w:numFmt w:val="lowerRoman"/>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0" w15:restartNumberingAfterBreak="0">
    <w:nsid w:val="5AA79712"/>
    <w:multiLevelType w:val="hybridMultilevel"/>
    <w:tmpl w:val="B5D408C0"/>
    <w:lvl w:ilvl="0" w:tplc="2ABE0C5E">
      <w:start w:val="1"/>
      <w:numFmt w:val="lowerLetter"/>
      <w:lvlText w:val="(%1)"/>
      <w:lvlJc w:val="left"/>
      <w:pPr>
        <w:ind w:left="720" w:hanging="360"/>
      </w:pPr>
    </w:lvl>
    <w:lvl w:ilvl="1" w:tplc="AD80A32C">
      <w:start w:val="1"/>
      <w:numFmt w:val="lowerLetter"/>
      <w:lvlText w:val="%2."/>
      <w:lvlJc w:val="left"/>
      <w:pPr>
        <w:ind w:left="1440" w:hanging="360"/>
      </w:pPr>
    </w:lvl>
    <w:lvl w:ilvl="2" w:tplc="4EAA25E4">
      <w:start w:val="1"/>
      <w:numFmt w:val="lowerRoman"/>
      <w:lvlText w:val="%3."/>
      <w:lvlJc w:val="right"/>
      <w:pPr>
        <w:ind w:left="2160" w:hanging="180"/>
      </w:pPr>
    </w:lvl>
    <w:lvl w:ilvl="3" w:tplc="090A2DEE">
      <w:start w:val="1"/>
      <w:numFmt w:val="decimal"/>
      <w:lvlText w:val="%4."/>
      <w:lvlJc w:val="left"/>
      <w:pPr>
        <w:ind w:left="2880" w:hanging="360"/>
      </w:pPr>
    </w:lvl>
    <w:lvl w:ilvl="4" w:tplc="4FD2C456">
      <w:start w:val="1"/>
      <w:numFmt w:val="lowerLetter"/>
      <w:lvlText w:val="%5."/>
      <w:lvlJc w:val="left"/>
      <w:pPr>
        <w:ind w:left="3600" w:hanging="360"/>
      </w:pPr>
    </w:lvl>
    <w:lvl w:ilvl="5" w:tplc="88E65C08">
      <w:start w:val="1"/>
      <w:numFmt w:val="lowerRoman"/>
      <w:lvlText w:val="%6."/>
      <w:lvlJc w:val="right"/>
      <w:pPr>
        <w:ind w:left="4320" w:hanging="180"/>
      </w:pPr>
    </w:lvl>
    <w:lvl w:ilvl="6" w:tplc="363C0E1C">
      <w:start w:val="1"/>
      <w:numFmt w:val="decimal"/>
      <w:lvlText w:val="%7."/>
      <w:lvlJc w:val="left"/>
      <w:pPr>
        <w:ind w:left="5040" w:hanging="360"/>
      </w:pPr>
    </w:lvl>
    <w:lvl w:ilvl="7" w:tplc="A45E4A7E">
      <w:start w:val="1"/>
      <w:numFmt w:val="lowerLetter"/>
      <w:lvlText w:val="%8."/>
      <w:lvlJc w:val="left"/>
      <w:pPr>
        <w:ind w:left="5760" w:hanging="360"/>
      </w:pPr>
    </w:lvl>
    <w:lvl w:ilvl="8" w:tplc="5B462164">
      <w:start w:val="1"/>
      <w:numFmt w:val="lowerRoman"/>
      <w:lvlText w:val="%9."/>
      <w:lvlJc w:val="right"/>
      <w:pPr>
        <w:ind w:left="6480" w:hanging="180"/>
      </w:pPr>
    </w:lvl>
  </w:abstractNum>
  <w:abstractNum w:abstractNumId="41" w15:restartNumberingAfterBreak="0">
    <w:nsid w:val="5B22E3C3"/>
    <w:multiLevelType w:val="hybridMultilevel"/>
    <w:tmpl w:val="FFFFFFFF"/>
    <w:lvl w:ilvl="0" w:tplc="9CAC20A6">
      <w:start w:val="1"/>
      <w:numFmt w:val="lowerRoman"/>
      <w:lvlText w:val="(%1)"/>
      <w:lvlJc w:val="left"/>
      <w:pPr>
        <w:ind w:left="1080" w:hanging="360"/>
      </w:pPr>
    </w:lvl>
    <w:lvl w:ilvl="1" w:tplc="FA46E4A8">
      <w:start w:val="1"/>
      <w:numFmt w:val="lowerLetter"/>
      <w:lvlText w:val="%2."/>
      <w:lvlJc w:val="left"/>
      <w:pPr>
        <w:ind w:left="1800" w:hanging="360"/>
      </w:pPr>
    </w:lvl>
    <w:lvl w:ilvl="2" w:tplc="B3EAA182">
      <w:start w:val="1"/>
      <w:numFmt w:val="lowerRoman"/>
      <w:lvlText w:val="%3."/>
      <w:lvlJc w:val="right"/>
      <w:pPr>
        <w:ind w:left="2520" w:hanging="180"/>
      </w:pPr>
    </w:lvl>
    <w:lvl w:ilvl="3" w:tplc="5F6AC2A0">
      <w:start w:val="1"/>
      <w:numFmt w:val="decimal"/>
      <w:lvlText w:val="%4."/>
      <w:lvlJc w:val="left"/>
      <w:pPr>
        <w:ind w:left="3240" w:hanging="360"/>
      </w:pPr>
    </w:lvl>
    <w:lvl w:ilvl="4" w:tplc="F1B07A14">
      <w:start w:val="1"/>
      <w:numFmt w:val="lowerLetter"/>
      <w:lvlText w:val="%5."/>
      <w:lvlJc w:val="left"/>
      <w:pPr>
        <w:ind w:left="3960" w:hanging="360"/>
      </w:pPr>
    </w:lvl>
    <w:lvl w:ilvl="5" w:tplc="EEFA9394">
      <w:start w:val="1"/>
      <w:numFmt w:val="lowerRoman"/>
      <w:lvlText w:val="%6."/>
      <w:lvlJc w:val="right"/>
      <w:pPr>
        <w:ind w:left="4680" w:hanging="180"/>
      </w:pPr>
    </w:lvl>
    <w:lvl w:ilvl="6" w:tplc="121C2E5E">
      <w:start w:val="1"/>
      <w:numFmt w:val="decimal"/>
      <w:lvlText w:val="%7."/>
      <w:lvlJc w:val="left"/>
      <w:pPr>
        <w:ind w:left="5400" w:hanging="360"/>
      </w:pPr>
    </w:lvl>
    <w:lvl w:ilvl="7" w:tplc="21AE7A14">
      <w:start w:val="1"/>
      <w:numFmt w:val="lowerLetter"/>
      <w:lvlText w:val="%8."/>
      <w:lvlJc w:val="left"/>
      <w:pPr>
        <w:ind w:left="6120" w:hanging="360"/>
      </w:pPr>
    </w:lvl>
    <w:lvl w:ilvl="8" w:tplc="D58CF478">
      <w:start w:val="1"/>
      <w:numFmt w:val="lowerRoman"/>
      <w:lvlText w:val="%9."/>
      <w:lvlJc w:val="right"/>
      <w:pPr>
        <w:ind w:left="6840" w:hanging="180"/>
      </w:pPr>
    </w:lvl>
  </w:abstractNum>
  <w:abstractNum w:abstractNumId="42"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3"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44" w15:restartNumberingAfterBreak="0">
    <w:nsid w:val="5F3FCB0C"/>
    <w:multiLevelType w:val="hybridMultilevel"/>
    <w:tmpl w:val="FFFFFFFF"/>
    <w:lvl w:ilvl="0" w:tplc="8ED2ADF2">
      <w:start w:val="1"/>
      <w:numFmt w:val="lowerLetter"/>
      <w:lvlText w:val="(%1)"/>
      <w:lvlJc w:val="left"/>
      <w:pPr>
        <w:ind w:left="720" w:hanging="360"/>
      </w:pPr>
    </w:lvl>
    <w:lvl w:ilvl="1" w:tplc="CF7EB580">
      <w:start w:val="1"/>
      <w:numFmt w:val="lowerLetter"/>
      <w:lvlText w:val="%2."/>
      <w:lvlJc w:val="left"/>
      <w:pPr>
        <w:ind w:left="1440" w:hanging="360"/>
      </w:pPr>
    </w:lvl>
    <w:lvl w:ilvl="2" w:tplc="769A5A6A">
      <w:start w:val="1"/>
      <w:numFmt w:val="lowerRoman"/>
      <w:lvlText w:val="%3."/>
      <w:lvlJc w:val="right"/>
      <w:pPr>
        <w:ind w:left="2160" w:hanging="180"/>
      </w:pPr>
    </w:lvl>
    <w:lvl w:ilvl="3" w:tplc="2960C9DC">
      <w:start w:val="1"/>
      <w:numFmt w:val="decimal"/>
      <w:lvlText w:val="%4."/>
      <w:lvlJc w:val="left"/>
      <w:pPr>
        <w:ind w:left="2880" w:hanging="360"/>
      </w:pPr>
    </w:lvl>
    <w:lvl w:ilvl="4" w:tplc="8FAAD782">
      <w:start w:val="1"/>
      <w:numFmt w:val="lowerLetter"/>
      <w:lvlText w:val="%5."/>
      <w:lvlJc w:val="left"/>
      <w:pPr>
        <w:ind w:left="3600" w:hanging="360"/>
      </w:pPr>
    </w:lvl>
    <w:lvl w:ilvl="5" w:tplc="1548ED24">
      <w:start w:val="1"/>
      <w:numFmt w:val="lowerRoman"/>
      <w:lvlText w:val="%6."/>
      <w:lvlJc w:val="right"/>
      <w:pPr>
        <w:ind w:left="4320" w:hanging="180"/>
      </w:pPr>
    </w:lvl>
    <w:lvl w:ilvl="6" w:tplc="359AE01C">
      <w:start w:val="1"/>
      <w:numFmt w:val="decimal"/>
      <w:lvlText w:val="%7."/>
      <w:lvlJc w:val="left"/>
      <w:pPr>
        <w:ind w:left="5040" w:hanging="360"/>
      </w:pPr>
    </w:lvl>
    <w:lvl w:ilvl="7" w:tplc="3A4E3E4C">
      <w:start w:val="1"/>
      <w:numFmt w:val="lowerLetter"/>
      <w:lvlText w:val="%8."/>
      <w:lvlJc w:val="left"/>
      <w:pPr>
        <w:ind w:left="5760" w:hanging="360"/>
      </w:pPr>
    </w:lvl>
    <w:lvl w:ilvl="8" w:tplc="4914FA32">
      <w:start w:val="1"/>
      <w:numFmt w:val="lowerRoman"/>
      <w:lvlText w:val="%9."/>
      <w:lvlJc w:val="right"/>
      <w:pPr>
        <w:ind w:left="6480" w:hanging="180"/>
      </w:pPr>
    </w:lvl>
  </w:abstractNum>
  <w:abstractNum w:abstractNumId="45"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666F830"/>
    <w:multiLevelType w:val="hybridMultilevel"/>
    <w:tmpl w:val="D4926F9E"/>
    <w:lvl w:ilvl="0" w:tplc="938864BE">
      <w:start w:val="1"/>
      <w:numFmt w:val="lowerLetter"/>
      <w:lvlText w:val="(%1)"/>
      <w:lvlJc w:val="left"/>
      <w:pPr>
        <w:ind w:left="720" w:hanging="360"/>
      </w:pPr>
    </w:lvl>
    <w:lvl w:ilvl="1" w:tplc="3F68DF5E">
      <w:start w:val="1"/>
      <w:numFmt w:val="lowerLetter"/>
      <w:lvlText w:val="%2."/>
      <w:lvlJc w:val="left"/>
      <w:pPr>
        <w:ind w:left="1440" w:hanging="360"/>
      </w:pPr>
    </w:lvl>
    <w:lvl w:ilvl="2" w:tplc="A4F6D9EC">
      <w:start w:val="1"/>
      <w:numFmt w:val="lowerRoman"/>
      <w:lvlText w:val="%3."/>
      <w:lvlJc w:val="right"/>
      <w:pPr>
        <w:ind w:left="2160" w:hanging="180"/>
      </w:pPr>
    </w:lvl>
    <w:lvl w:ilvl="3" w:tplc="EBEC4DD6">
      <w:start w:val="1"/>
      <w:numFmt w:val="decimal"/>
      <w:lvlText w:val="%4."/>
      <w:lvlJc w:val="left"/>
      <w:pPr>
        <w:ind w:left="2880" w:hanging="360"/>
      </w:pPr>
    </w:lvl>
    <w:lvl w:ilvl="4" w:tplc="77C4F572">
      <w:start w:val="1"/>
      <w:numFmt w:val="lowerLetter"/>
      <w:lvlText w:val="%5."/>
      <w:lvlJc w:val="left"/>
      <w:pPr>
        <w:ind w:left="3600" w:hanging="360"/>
      </w:pPr>
    </w:lvl>
    <w:lvl w:ilvl="5" w:tplc="9B8CD2AC">
      <w:start w:val="1"/>
      <w:numFmt w:val="lowerRoman"/>
      <w:lvlText w:val="%6."/>
      <w:lvlJc w:val="right"/>
      <w:pPr>
        <w:ind w:left="4320" w:hanging="180"/>
      </w:pPr>
    </w:lvl>
    <w:lvl w:ilvl="6" w:tplc="ACE8E582">
      <w:start w:val="1"/>
      <w:numFmt w:val="decimal"/>
      <w:lvlText w:val="%7."/>
      <w:lvlJc w:val="left"/>
      <w:pPr>
        <w:ind w:left="5040" w:hanging="360"/>
      </w:pPr>
    </w:lvl>
    <w:lvl w:ilvl="7" w:tplc="5F2A640A">
      <w:start w:val="1"/>
      <w:numFmt w:val="lowerLetter"/>
      <w:lvlText w:val="%8."/>
      <w:lvlJc w:val="left"/>
      <w:pPr>
        <w:ind w:left="5760" w:hanging="360"/>
      </w:pPr>
    </w:lvl>
    <w:lvl w:ilvl="8" w:tplc="28F259F0">
      <w:start w:val="1"/>
      <w:numFmt w:val="lowerRoman"/>
      <w:lvlText w:val="%9."/>
      <w:lvlJc w:val="right"/>
      <w:pPr>
        <w:ind w:left="6480" w:hanging="180"/>
      </w:pPr>
    </w:lvl>
  </w:abstractNum>
  <w:abstractNum w:abstractNumId="47"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48" w15:restartNumberingAfterBreak="0">
    <w:nsid w:val="678268CA"/>
    <w:multiLevelType w:val="hybridMultilevel"/>
    <w:tmpl w:val="5C14E586"/>
    <w:lvl w:ilvl="0" w:tplc="0A0017CE">
      <w:start w:val="1"/>
      <w:numFmt w:val="lowerLetter"/>
      <w:lvlText w:val="(%1)"/>
      <w:lvlJc w:val="left"/>
      <w:pPr>
        <w:ind w:left="720" w:hanging="360"/>
      </w:pPr>
    </w:lvl>
    <w:lvl w:ilvl="1" w:tplc="AC48C82A">
      <w:start w:val="1"/>
      <w:numFmt w:val="lowerLetter"/>
      <w:lvlText w:val="%2."/>
      <w:lvlJc w:val="left"/>
      <w:pPr>
        <w:ind w:left="1440" w:hanging="360"/>
      </w:pPr>
    </w:lvl>
    <w:lvl w:ilvl="2" w:tplc="980435D2">
      <w:start w:val="1"/>
      <w:numFmt w:val="lowerRoman"/>
      <w:lvlText w:val="%3."/>
      <w:lvlJc w:val="right"/>
      <w:pPr>
        <w:ind w:left="2160" w:hanging="180"/>
      </w:pPr>
    </w:lvl>
    <w:lvl w:ilvl="3" w:tplc="11DECD90">
      <w:start w:val="1"/>
      <w:numFmt w:val="decimal"/>
      <w:lvlText w:val="%4."/>
      <w:lvlJc w:val="left"/>
      <w:pPr>
        <w:ind w:left="2880" w:hanging="360"/>
      </w:pPr>
    </w:lvl>
    <w:lvl w:ilvl="4" w:tplc="BBD8C3BA">
      <w:start w:val="1"/>
      <w:numFmt w:val="lowerLetter"/>
      <w:lvlText w:val="%5."/>
      <w:lvlJc w:val="left"/>
      <w:pPr>
        <w:ind w:left="3600" w:hanging="360"/>
      </w:pPr>
    </w:lvl>
    <w:lvl w:ilvl="5" w:tplc="5274AB18">
      <w:start w:val="1"/>
      <w:numFmt w:val="lowerRoman"/>
      <w:lvlText w:val="%6."/>
      <w:lvlJc w:val="right"/>
      <w:pPr>
        <w:ind w:left="4320" w:hanging="180"/>
      </w:pPr>
    </w:lvl>
    <w:lvl w:ilvl="6" w:tplc="2DA69758">
      <w:start w:val="1"/>
      <w:numFmt w:val="decimal"/>
      <w:lvlText w:val="%7."/>
      <w:lvlJc w:val="left"/>
      <w:pPr>
        <w:ind w:left="5040" w:hanging="360"/>
      </w:pPr>
    </w:lvl>
    <w:lvl w:ilvl="7" w:tplc="9DB6E466">
      <w:start w:val="1"/>
      <w:numFmt w:val="lowerLetter"/>
      <w:lvlText w:val="%8."/>
      <w:lvlJc w:val="left"/>
      <w:pPr>
        <w:ind w:left="5760" w:hanging="360"/>
      </w:pPr>
    </w:lvl>
    <w:lvl w:ilvl="8" w:tplc="B29A6094">
      <w:start w:val="1"/>
      <w:numFmt w:val="lowerRoman"/>
      <w:lvlText w:val="%9."/>
      <w:lvlJc w:val="right"/>
      <w:pPr>
        <w:ind w:left="6480" w:hanging="180"/>
      </w:pPr>
    </w:lvl>
  </w:abstractNum>
  <w:abstractNum w:abstractNumId="49" w15:restartNumberingAfterBreak="0">
    <w:nsid w:val="6809771B"/>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683C1BA2"/>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6AC26C98"/>
    <w:multiLevelType w:val="hybridMultilevel"/>
    <w:tmpl w:val="9AB6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3" w15:restartNumberingAfterBreak="0">
    <w:nsid w:val="6CB09F3A"/>
    <w:multiLevelType w:val="hybridMultilevel"/>
    <w:tmpl w:val="FFFFFFFF"/>
    <w:lvl w:ilvl="0" w:tplc="FFFFFFFF">
      <w:start w:val="1"/>
      <w:numFmt w:val="lowerLetter"/>
      <w:lvlText w:val="(%1)"/>
      <w:lvlJc w:val="left"/>
      <w:pPr>
        <w:ind w:left="720" w:hanging="360"/>
      </w:pPr>
    </w:lvl>
    <w:lvl w:ilvl="1" w:tplc="0F6C0B56">
      <w:start w:val="1"/>
      <w:numFmt w:val="lowerLetter"/>
      <w:lvlText w:val="%2."/>
      <w:lvlJc w:val="left"/>
      <w:pPr>
        <w:ind w:left="1440" w:hanging="360"/>
      </w:pPr>
    </w:lvl>
    <w:lvl w:ilvl="2" w:tplc="560A3AE4">
      <w:start w:val="1"/>
      <w:numFmt w:val="lowerRoman"/>
      <w:lvlText w:val="%3."/>
      <w:lvlJc w:val="right"/>
      <w:pPr>
        <w:ind w:left="2160" w:hanging="180"/>
      </w:pPr>
    </w:lvl>
    <w:lvl w:ilvl="3" w:tplc="959C152A">
      <w:start w:val="1"/>
      <w:numFmt w:val="decimal"/>
      <w:lvlText w:val="%4."/>
      <w:lvlJc w:val="left"/>
      <w:pPr>
        <w:ind w:left="2880" w:hanging="360"/>
      </w:pPr>
    </w:lvl>
    <w:lvl w:ilvl="4" w:tplc="313AC5D6">
      <w:start w:val="1"/>
      <w:numFmt w:val="lowerLetter"/>
      <w:lvlText w:val="%5."/>
      <w:lvlJc w:val="left"/>
      <w:pPr>
        <w:ind w:left="3600" w:hanging="360"/>
      </w:pPr>
    </w:lvl>
    <w:lvl w:ilvl="5" w:tplc="60BA5BC0">
      <w:start w:val="1"/>
      <w:numFmt w:val="lowerRoman"/>
      <w:lvlText w:val="%6."/>
      <w:lvlJc w:val="right"/>
      <w:pPr>
        <w:ind w:left="4320" w:hanging="180"/>
      </w:pPr>
    </w:lvl>
    <w:lvl w:ilvl="6" w:tplc="541C416E">
      <w:start w:val="1"/>
      <w:numFmt w:val="decimal"/>
      <w:lvlText w:val="%7."/>
      <w:lvlJc w:val="left"/>
      <w:pPr>
        <w:ind w:left="5040" w:hanging="360"/>
      </w:pPr>
    </w:lvl>
    <w:lvl w:ilvl="7" w:tplc="8202FF66">
      <w:start w:val="1"/>
      <w:numFmt w:val="lowerLetter"/>
      <w:lvlText w:val="%8."/>
      <w:lvlJc w:val="left"/>
      <w:pPr>
        <w:ind w:left="5760" w:hanging="360"/>
      </w:pPr>
    </w:lvl>
    <w:lvl w:ilvl="8" w:tplc="83F493F4">
      <w:start w:val="1"/>
      <w:numFmt w:val="lowerRoman"/>
      <w:lvlText w:val="%9."/>
      <w:lvlJc w:val="right"/>
      <w:pPr>
        <w:ind w:left="6480" w:hanging="180"/>
      </w:pPr>
    </w:lvl>
  </w:abstractNum>
  <w:abstractNum w:abstractNumId="54" w15:restartNumberingAfterBreak="0">
    <w:nsid w:val="6E63190F"/>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 w15:restartNumberingAfterBreak="0">
    <w:nsid w:val="709D85D0"/>
    <w:multiLevelType w:val="hybridMultilevel"/>
    <w:tmpl w:val="7F3ECA0C"/>
    <w:lvl w:ilvl="0" w:tplc="C4C08FE0">
      <w:start w:val="1"/>
      <w:numFmt w:val="lowerLetter"/>
      <w:lvlText w:val="(%1)"/>
      <w:lvlJc w:val="left"/>
      <w:pPr>
        <w:ind w:left="720" w:hanging="360"/>
      </w:pPr>
    </w:lvl>
    <w:lvl w:ilvl="1" w:tplc="2898CC72">
      <w:start w:val="1"/>
      <w:numFmt w:val="lowerLetter"/>
      <w:lvlText w:val="%2."/>
      <w:lvlJc w:val="left"/>
      <w:pPr>
        <w:ind w:left="1440" w:hanging="360"/>
      </w:pPr>
    </w:lvl>
    <w:lvl w:ilvl="2" w:tplc="EC844C8C">
      <w:start w:val="1"/>
      <w:numFmt w:val="lowerRoman"/>
      <w:lvlText w:val="%3."/>
      <w:lvlJc w:val="right"/>
      <w:pPr>
        <w:ind w:left="2160" w:hanging="180"/>
      </w:pPr>
    </w:lvl>
    <w:lvl w:ilvl="3" w:tplc="E7AA0448">
      <w:start w:val="1"/>
      <w:numFmt w:val="decimal"/>
      <w:lvlText w:val="%4."/>
      <w:lvlJc w:val="left"/>
      <w:pPr>
        <w:ind w:left="2880" w:hanging="360"/>
      </w:pPr>
    </w:lvl>
    <w:lvl w:ilvl="4" w:tplc="B0CE6854">
      <w:start w:val="1"/>
      <w:numFmt w:val="lowerLetter"/>
      <w:lvlText w:val="%5."/>
      <w:lvlJc w:val="left"/>
      <w:pPr>
        <w:ind w:left="3600" w:hanging="360"/>
      </w:pPr>
    </w:lvl>
    <w:lvl w:ilvl="5" w:tplc="B45230C4">
      <w:start w:val="1"/>
      <w:numFmt w:val="lowerRoman"/>
      <w:lvlText w:val="%6."/>
      <w:lvlJc w:val="right"/>
      <w:pPr>
        <w:ind w:left="4320" w:hanging="180"/>
      </w:pPr>
    </w:lvl>
    <w:lvl w:ilvl="6" w:tplc="38AA3AC4">
      <w:start w:val="1"/>
      <w:numFmt w:val="decimal"/>
      <w:lvlText w:val="%7."/>
      <w:lvlJc w:val="left"/>
      <w:pPr>
        <w:ind w:left="5040" w:hanging="360"/>
      </w:pPr>
    </w:lvl>
    <w:lvl w:ilvl="7" w:tplc="C5F25E7C">
      <w:start w:val="1"/>
      <w:numFmt w:val="lowerLetter"/>
      <w:lvlText w:val="%8."/>
      <w:lvlJc w:val="left"/>
      <w:pPr>
        <w:ind w:left="5760" w:hanging="360"/>
      </w:pPr>
    </w:lvl>
    <w:lvl w:ilvl="8" w:tplc="2B301B80">
      <w:start w:val="1"/>
      <w:numFmt w:val="lowerRoman"/>
      <w:lvlText w:val="%9."/>
      <w:lvlJc w:val="right"/>
      <w:pPr>
        <w:ind w:left="6480" w:hanging="180"/>
      </w:pPr>
    </w:lvl>
  </w:abstractNum>
  <w:abstractNum w:abstractNumId="56"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242E3E"/>
    <w:multiLevelType w:val="hybridMultilevel"/>
    <w:tmpl w:val="95BE37A4"/>
    <w:styleLink w:val="Formatvorlage2"/>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58"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7C16B7E"/>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0" w15:restartNumberingAfterBreak="0">
    <w:nsid w:val="781BB000"/>
    <w:multiLevelType w:val="hybridMultilevel"/>
    <w:tmpl w:val="FFFFFFFF"/>
    <w:styleLink w:val="Formatvorlage4"/>
    <w:lvl w:ilvl="0" w:tplc="F350F382">
      <w:start w:val="1"/>
      <w:numFmt w:val="lowerLetter"/>
      <w:lvlText w:val="(%1)"/>
      <w:lvlJc w:val="left"/>
      <w:pPr>
        <w:ind w:left="720" w:hanging="360"/>
      </w:pPr>
    </w:lvl>
    <w:lvl w:ilvl="1" w:tplc="6C5C72A2">
      <w:start w:val="1"/>
      <w:numFmt w:val="lowerLetter"/>
      <w:lvlText w:val="%2."/>
      <w:lvlJc w:val="left"/>
      <w:pPr>
        <w:ind w:left="1440" w:hanging="360"/>
      </w:pPr>
    </w:lvl>
    <w:lvl w:ilvl="2" w:tplc="2B4EA472">
      <w:start w:val="1"/>
      <w:numFmt w:val="lowerRoman"/>
      <w:lvlText w:val="%3."/>
      <w:lvlJc w:val="right"/>
      <w:pPr>
        <w:ind w:left="2160" w:hanging="180"/>
      </w:pPr>
    </w:lvl>
    <w:lvl w:ilvl="3" w:tplc="43CC7604">
      <w:start w:val="1"/>
      <w:numFmt w:val="decimal"/>
      <w:lvlText w:val="%4."/>
      <w:lvlJc w:val="left"/>
      <w:pPr>
        <w:ind w:left="2880" w:hanging="360"/>
      </w:pPr>
    </w:lvl>
    <w:lvl w:ilvl="4" w:tplc="E020A9EE">
      <w:start w:val="1"/>
      <w:numFmt w:val="lowerLetter"/>
      <w:lvlText w:val="%5."/>
      <w:lvlJc w:val="left"/>
      <w:pPr>
        <w:ind w:left="3600" w:hanging="360"/>
      </w:pPr>
    </w:lvl>
    <w:lvl w:ilvl="5" w:tplc="A522B778">
      <w:start w:val="1"/>
      <w:numFmt w:val="lowerRoman"/>
      <w:lvlText w:val="%6."/>
      <w:lvlJc w:val="right"/>
      <w:pPr>
        <w:ind w:left="4320" w:hanging="180"/>
      </w:pPr>
    </w:lvl>
    <w:lvl w:ilvl="6" w:tplc="FE2EF3B2">
      <w:start w:val="1"/>
      <w:numFmt w:val="decimal"/>
      <w:lvlText w:val="%7."/>
      <w:lvlJc w:val="left"/>
      <w:pPr>
        <w:ind w:left="5040" w:hanging="360"/>
      </w:pPr>
    </w:lvl>
    <w:lvl w:ilvl="7" w:tplc="8418FDC4">
      <w:start w:val="1"/>
      <w:numFmt w:val="lowerLetter"/>
      <w:lvlText w:val="%8."/>
      <w:lvlJc w:val="left"/>
      <w:pPr>
        <w:ind w:left="5760" w:hanging="360"/>
      </w:pPr>
    </w:lvl>
    <w:lvl w:ilvl="8" w:tplc="0AA25DF8">
      <w:start w:val="1"/>
      <w:numFmt w:val="lowerRoman"/>
      <w:lvlText w:val="%9."/>
      <w:lvlJc w:val="right"/>
      <w:pPr>
        <w:ind w:left="6480" w:hanging="180"/>
      </w:pPr>
    </w:lvl>
  </w:abstractNum>
  <w:abstractNum w:abstractNumId="61" w15:restartNumberingAfterBreak="0">
    <w:nsid w:val="7B7C310F"/>
    <w:multiLevelType w:val="hybridMultilevel"/>
    <w:tmpl w:val="3B6C0CD6"/>
    <w:lvl w:ilvl="0" w:tplc="F104CDFC">
      <w:start w:val="1"/>
      <w:numFmt w:val="lowerLetter"/>
      <w:lvlText w:val="(%1)"/>
      <w:lvlJc w:val="left"/>
      <w:pPr>
        <w:ind w:left="720" w:hanging="360"/>
      </w:pPr>
    </w:lvl>
    <w:lvl w:ilvl="1" w:tplc="D6B6A48E">
      <w:start w:val="1"/>
      <w:numFmt w:val="lowerLetter"/>
      <w:lvlText w:val="%2."/>
      <w:lvlJc w:val="left"/>
      <w:pPr>
        <w:ind w:left="1440" w:hanging="360"/>
      </w:pPr>
    </w:lvl>
    <w:lvl w:ilvl="2" w:tplc="587A930C">
      <w:start w:val="1"/>
      <w:numFmt w:val="lowerRoman"/>
      <w:lvlText w:val="%3."/>
      <w:lvlJc w:val="right"/>
      <w:pPr>
        <w:ind w:left="2160" w:hanging="180"/>
      </w:pPr>
    </w:lvl>
    <w:lvl w:ilvl="3" w:tplc="A11AE09A">
      <w:start w:val="1"/>
      <w:numFmt w:val="decimal"/>
      <w:lvlText w:val="%4."/>
      <w:lvlJc w:val="left"/>
      <w:pPr>
        <w:ind w:left="2880" w:hanging="360"/>
      </w:pPr>
    </w:lvl>
    <w:lvl w:ilvl="4" w:tplc="065C31DA">
      <w:start w:val="1"/>
      <w:numFmt w:val="lowerLetter"/>
      <w:lvlText w:val="%5."/>
      <w:lvlJc w:val="left"/>
      <w:pPr>
        <w:ind w:left="3600" w:hanging="360"/>
      </w:pPr>
    </w:lvl>
    <w:lvl w:ilvl="5" w:tplc="E08CF33A">
      <w:start w:val="1"/>
      <w:numFmt w:val="lowerRoman"/>
      <w:lvlText w:val="%6."/>
      <w:lvlJc w:val="right"/>
      <w:pPr>
        <w:ind w:left="4320" w:hanging="180"/>
      </w:pPr>
    </w:lvl>
    <w:lvl w:ilvl="6" w:tplc="A26A3046">
      <w:start w:val="1"/>
      <w:numFmt w:val="decimal"/>
      <w:lvlText w:val="%7."/>
      <w:lvlJc w:val="left"/>
      <w:pPr>
        <w:ind w:left="5040" w:hanging="360"/>
      </w:pPr>
    </w:lvl>
    <w:lvl w:ilvl="7" w:tplc="54C0DDCA">
      <w:start w:val="1"/>
      <w:numFmt w:val="lowerLetter"/>
      <w:lvlText w:val="%8."/>
      <w:lvlJc w:val="left"/>
      <w:pPr>
        <w:ind w:left="5760" w:hanging="360"/>
      </w:pPr>
    </w:lvl>
    <w:lvl w:ilvl="8" w:tplc="2C5E7ABE">
      <w:start w:val="1"/>
      <w:numFmt w:val="lowerRoman"/>
      <w:lvlText w:val="%9."/>
      <w:lvlJc w:val="right"/>
      <w:pPr>
        <w:ind w:left="6480" w:hanging="180"/>
      </w:pPr>
    </w:lvl>
  </w:abstractNum>
  <w:abstractNum w:abstractNumId="62" w15:restartNumberingAfterBreak="0">
    <w:nsid w:val="7BFC53C6"/>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3" w15:restartNumberingAfterBreak="0">
    <w:nsid w:val="7D74621E"/>
    <w:multiLevelType w:val="multilevel"/>
    <w:tmpl w:val="E796223E"/>
    <w:styleLink w:val="Formatvorlage1"/>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9825265">
    <w:abstractNumId w:val="4"/>
  </w:num>
  <w:num w:numId="2" w16cid:durableId="18819467">
    <w:abstractNumId w:val="43"/>
  </w:num>
  <w:num w:numId="3" w16cid:durableId="1702824261">
    <w:abstractNumId w:val="58"/>
  </w:num>
  <w:num w:numId="4" w16cid:durableId="1520507323">
    <w:abstractNumId w:val="33"/>
  </w:num>
  <w:num w:numId="5" w16cid:durableId="1039820087">
    <w:abstractNumId w:val="57"/>
  </w:num>
  <w:num w:numId="6" w16cid:durableId="750542997">
    <w:abstractNumId w:val="14"/>
  </w:num>
  <w:num w:numId="7" w16cid:durableId="262152126">
    <w:abstractNumId w:val="45"/>
  </w:num>
  <w:num w:numId="8" w16cid:durableId="2076581264">
    <w:abstractNumId w:val="25"/>
  </w:num>
  <w:num w:numId="9" w16cid:durableId="167794584">
    <w:abstractNumId w:val="19"/>
  </w:num>
  <w:num w:numId="10" w16cid:durableId="601911638">
    <w:abstractNumId w:val="47"/>
  </w:num>
  <w:num w:numId="11" w16cid:durableId="1299721235">
    <w:abstractNumId w:val="42"/>
  </w:num>
  <w:num w:numId="12" w16cid:durableId="211771163">
    <w:abstractNumId w:val="22"/>
  </w:num>
  <w:num w:numId="13" w16cid:durableId="1357657359">
    <w:abstractNumId w:val="10"/>
  </w:num>
  <w:num w:numId="14" w16cid:durableId="749620512">
    <w:abstractNumId w:val="32"/>
  </w:num>
  <w:num w:numId="15" w16cid:durableId="256906041">
    <w:abstractNumId w:val="3"/>
  </w:num>
  <w:num w:numId="16" w16cid:durableId="606692107">
    <w:abstractNumId w:val="26"/>
  </w:num>
  <w:num w:numId="17" w16cid:durableId="1661425276">
    <w:abstractNumId w:val="56"/>
  </w:num>
  <w:num w:numId="18" w16cid:durableId="566309894">
    <w:abstractNumId w:val="2"/>
  </w:num>
  <w:num w:numId="19" w16cid:durableId="208953599">
    <w:abstractNumId w:val="52"/>
  </w:num>
  <w:num w:numId="20" w16cid:durableId="1745880909">
    <w:abstractNumId w:val="35"/>
  </w:num>
  <w:num w:numId="21" w16cid:durableId="1174997788">
    <w:abstractNumId w:val="0"/>
  </w:num>
  <w:num w:numId="22" w16cid:durableId="1387604561">
    <w:abstractNumId w:val="20"/>
  </w:num>
  <w:num w:numId="23" w16cid:durableId="1040664673">
    <w:abstractNumId w:val="51"/>
  </w:num>
  <w:num w:numId="24" w16cid:durableId="711660601">
    <w:abstractNumId w:val="63"/>
  </w:num>
  <w:num w:numId="25" w16cid:durableId="967977807">
    <w:abstractNumId w:val="24"/>
  </w:num>
  <w:num w:numId="26" w16cid:durableId="694842380">
    <w:abstractNumId w:val="60"/>
  </w:num>
  <w:num w:numId="27" w16cid:durableId="1234313027">
    <w:abstractNumId w:val="12"/>
  </w:num>
  <w:num w:numId="28" w16cid:durableId="1314331246">
    <w:abstractNumId w:val="21"/>
  </w:num>
  <w:num w:numId="29" w16cid:durableId="271979953">
    <w:abstractNumId w:val="40"/>
  </w:num>
  <w:num w:numId="30" w16cid:durableId="1535271921">
    <w:abstractNumId w:val="30"/>
  </w:num>
  <w:num w:numId="31" w16cid:durableId="1930312410">
    <w:abstractNumId w:val="55"/>
  </w:num>
  <w:num w:numId="32" w16cid:durableId="223761570">
    <w:abstractNumId w:val="13"/>
  </w:num>
  <w:num w:numId="33" w16cid:durableId="231737568">
    <w:abstractNumId w:val="61"/>
  </w:num>
  <w:num w:numId="34" w16cid:durableId="472647547">
    <w:abstractNumId w:val="48"/>
  </w:num>
  <w:num w:numId="35" w16cid:durableId="48379345">
    <w:abstractNumId w:val="11"/>
  </w:num>
  <w:num w:numId="36" w16cid:durableId="1417287524">
    <w:abstractNumId w:val="46"/>
  </w:num>
  <w:num w:numId="37" w16cid:durableId="1864593141">
    <w:abstractNumId w:val="18"/>
  </w:num>
  <w:num w:numId="38" w16cid:durableId="208345769">
    <w:abstractNumId w:val="15"/>
  </w:num>
  <w:num w:numId="39" w16cid:durableId="619534653">
    <w:abstractNumId w:val="28"/>
  </w:num>
  <w:num w:numId="40" w16cid:durableId="1210991714">
    <w:abstractNumId w:val="37"/>
  </w:num>
  <w:num w:numId="41" w16cid:durableId="2065638756">
    <w:abstractNumId w:val="23"/>
  </w:num>
  <w:num w:numId="42" w16cid:durableId="436339266">
    <w:abstractNumId w:val="44"/>
  </w:num>
  <w:num w:numId="43" w16cid:durableId="1384795088">
    <w:abstractNumId w:val="16"/>
  </w:num>
  <w:num w:numId="44" w16cid:durableId="1405757556">
    <w:abstractNumId w:val="5"/>
  </w:num>
  <w:num w:numId="45" w16cid:durableId="1478186768">
    <w:abstractNumId w:val="29"/>
  </w:num>
  <w:num w:numId="46" w16cid:durableId="1760831170">
    <w:abstractNumId w:val="27"/>
  </w:num>
  <w:num w:numId="47" w16cid:durableId="1084455639">
    <w:abstractNumId w:val="34"/>
  </w:num>
  <w:num w:numId="48" w16cid:durableId="991644018">
    <w:abstractNumId w:val="53"/>
  </w:num>
  <w:num w:numId="49" w16cid:durableId="2124612622">
    <w:abstractNumId w:val="41"/>
  </w:num>
  <w:num w:numId="50" w16cid:durableId="2054428536">
    <w:abstractNumId w:val="39"/>
  </w:num>
  <w:num w:numId="51" w16cid:durableId="1038965817">
    <w:abstractNumId w:val="50"/>
  </w:num>
  <w:num w:numId="52" w16cid:durableId="268775657">
    <w:abstractNumId w:val="49"/>
  </w:num>
  <w:num w:numId="53" w16cid:durableId="263653978">
    <w:abstractNumId w:val="36"/>
  </w:num>
  <w:num w:numId="54" w16cid:durableId="1421025537">
    <w:abstractNumId w:val="6"/>
  </w:num>
  <w:num w:numId="55" w16cid:durableId="486946384">
    <w:abstractNumId w:val="59"/>
  </w:num>
  <w:num w:numId="56" w16cid:durableId="814949618">
    <w:abstractNumId w:val="8"/>
  </w:num>
  <w:num w:numId="57" w16cid:durableId="245506391">
    <w:abstractNumId w:val="9"/>
  </w:num>
  <w:num w:numId="58" w16cid:durableId="1418285436">
    <w:abstractNumId w:val="17"/>
  </w:num>
  <w:num w:numId="59" w16cid:durableId="1860043113">
    <w:abstractNumId w:val="31"/>
  </w:num>
  <w:num w:numId="60" w16cid:durableId="2051757687">
    <w:abstractNumId w:val="54"/>
  </w:num>
  <w:num w:numId="61" w16cid:durableId="1172453770">
    <w:abstractNumId w:val="7"/>
  </w:num>
  <w:num w:numId="62" w16cid:durableId="1018501589">
    <w:abstractNumId w:val="38"/>
  </w:num>
  <w:num w:numId="63" w16cid:durableId="1417484552">
    <w:abstractNumId w:val="1"/>
  </w:num>
  <w:num w:numId="64" w16cid:durableId="708798133">
    <w:abstractNumId w:val="6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948"/>
    <w:rsid w:val="0000004B"/>
    <w:rsid w:val="00000F96"/>
    <w:rsid w:val="00000F9A"/>
    <w:rsid w:val="000014A5"/>
    <w:rsid w:val="00003194"/>
    <w:rsid w:val="00003550"/>
    <w:rsid w:val="00003D31"/>
    <w:rsid w:val="000040F3"/>
    <w:rsid w:val="00004B02"/>
    <w:rsid w:val="00004B25"/>
    <w:rsid w:val="0000534F"/>
    <w:rsid w:val="000054E7"/>
    <w:rsid w:val="0000660A"/>
    <w:rsid w:val="00007DA2"/>
    <w:rsid w:val="00007FDA"/>
    <w:rsid w:val="00010BFF"/>
    <w:rsid w:val="0001110B"/>
    <w:rsid w:val="00012020"/>
    <w:rsid w:val="0001209B"/>
    <w:rsid w:val="0001212D"/>
    <w:rsid w:val="000125CB"/>
    <w:rsid w:val="000135CA"/>
    <w:rsid w:val="00013972"/>
    <w:rsid w:val="00014611"/>
    <w:rsid w:val="0001683E"/>
    <w:rsid w:val="0001696F"/>
    <w:rsid w:val="00017AEA"/>
    <w:rsid w:val="00021955"/>
    <w:rsid w:val="00023497"/>
    <w:rsid w:val="00024035"/>
    <w:rsid w:val="000248DF"/>
    <w:rsid w:val="000251C2"/>
    <w:rsid w:val="00025327"/>
    <w:rsid w:val="00025985"/>
    <w:rsid w:val="00025BA1"/>
    <w:rsid w:val="0002648A"/>
    <w:rsid w:val="0002759F"/>
    <w:rsid w:val="00027F0A"/>
    <w:rsid w:val="0003004A"/>
    <w:rsid w:val="00030C14"/>
    <w:rsid w:val="00031507"/>
    <w:rsid w:val="00031616"/>
    <w:rsid w:val="000316F9"/>
    <w:rsid w:val="00031AA0"/>
    <w:rsid w:val="00032262"/>
    <w:rsid w:val="000330B7"/>
    <w:rsid w:val="00033392"/>
    <w:rsid w:val="0003342F"/>
    <w:rsid w:val="0003400D"/>
    <w:rsid w:val="00034A31"/>
    <w:rsid w:val="00034BF7"/>
    <w:rsid w:val="00034D99"/>
    <w:rsid w:val="00034E91"/>
    <w:rsid w:val="00035A39"/>
    <w:rsid w:val="00036277"/>
    <w:rsid w:val="00037D11"/>
    <w:rsid w:val="00040B02"/>
    <w:rsid w:val="00040BFB"/>
    <w:rsid w:val="00042586"/>
    <w:rsid w:val="00042C93"/>
    <w:rsid w:val="0004328B"/>
    <w:rsid w:val="00043526"/>
    <w:rsid w:val="00043A0B"/>
    <w:rsid w:val="00044262"/>
    <w:rsid w:val="00044F36"/>
    <w:rsid w:val="00045725"/>
    <w:rsid w:val="00045769"/>
    <w:rsid w:val="00045AC7"/>
    <w:rsid w:val="00045F3C"/>
    <w:rsid w:val="00045F43"/>
    <w:rsid w:val="00045FF5"/>
    <w:rsid w:val="00046005"/>
    <w:rsid w:val="00047479"/>
    <w:rsid w:val="00047AEA"/>
    <w:rsid w:val="00047BB5"/>
    <w:rsid w:val="00047BEB"/>
    <w:rsid w:val="00047EE7"/>
    <w:rsid w:val="00047F96"/>
    <w:rsid w:val="00050D4B"/>
    <w:rsid w:val="00051225"/>
    <w:rsid w:val="0005129B"/>
    <w:rsid w:val="000517D6"/>
    <w:rsid w:val="000525B7"/>
    <w:rsid w:val="00052C15"/>
    <w:rsid w:val="000532FA"/>
    <w:rsid w:val="00053816"/>
    <w:rsid w:val="00053EEB"/>
    <w:rsid w:val="00054838"/>
    <w:rsid w:val="00054A47"/>
    <w:rsid w:val="00054B5C"/>
    <w:rsid w:val="000552C9"/>
    <w:rsid w:val="00055B45"/>
    <w:rsid w:val="000561CA"/>
    <w:rsid w:val="000564A0"/>
    <w:rsid w:val="00056982"/>
    <w:rsid w:val="00056C85"/>
    <w:rsid w:val="00056DDE"/>
    <w:rsid w:val="00057078"/>
    <w:rsid w:val="00057523"/>
    <w:rsid w:val="00060C67"/>
    <w:rsid w:val="0006122E"/>
    <w:rsid w:val="000623EF"/>
    <w:rsid w:val="00062907"/>
    <w:rsid w:val="00062968"/>
    <w:rsid w:val="00062D7F"/>
    <w:rsid w:val="00064667"/>
    <w:rsid w:val="00064A5B"/>
    <w:rsid w:val="00064F2F"/>
    <w:rsid w:val="00065250"/>
    <w:rsid w:val="000661D2"/>
    <w:rsid w:val="00067866"/>
    <w:rsid w:val="00067ABB"/>
    <w:rsid w:val="000701AF"/>
    <w:rsid w:val="00070664"/>
    <w:rsid w:val="00071A13"/>
    <w:rsid w:val="00071B5C"/>
    <w:rsid w:val="0007212C"/>
    <w:rsid w:val="00073C17"/>
    <w:rsid w:val="000741C5"/>
    <w:rsid w:val="0007513B"/>
    <w:rsid w:val="00075766"/>
    <w:rsid w:val="00075A54"/>
    <w:rsid w:val="00075E0A"/>
    <w:rsid w:val="000760FA"/>
    <w:rsid w:val="000761E8"/>
    <w:rsid w:val="0007629A"/>
    <w:rsid w:val="00076646"/>
    <w:rsid w:val="00076E05"/>
    <w:rsid w:val="000775E3"/>
    <w:rsid w:val="00077EDF"/>
    <w:rsid w:val="00080D03"/>
    <w:rsid w:val="0008118D"/>
    <w:rsid w:val="000811FC"/>
    <w:rsid w:val="000817AF"/>
    <w:rsid w:val="00083B1B"/>
    <w:rsid w:val="00083EF1"/>
    <w:rsid w:val="000842D2"/>
    <w:rsid w:val="0008558D"/>
    <w:rsid w:val="000855B3"/>
    <w:rsid w:val="000855CE"/>
    <w:rsid w:val="00085C69"/>
    <w:rsid w:val="00085F13"/>
    <w:rsid w:val="00086685"/>
    <w:rsid w:val="00086F3F"/>
    <w:rsid w:val="00087DDE"/>
    <w:rsid w:val="00090F1F"/>
    <w:rsid w:val="000910AE"/>
    <w:rsid w:val="0009126C"/>
    <w:rsid w:val="0009211F"/>
    <w:rsid w:val="000925ED"/>
    <w:rsid w:val="000926CF"/>
    <w:rsid w:val="00093124"/>
    <w:rsid w:val="00093216"/>
    <w:rsid w:val="00093A6F"/>
    <w:rsid w:val="00093B16"/>
    <w:rsid w:val="00093BD3"/>
    <w:rsid w:val="00094883"/>
    <w:rsid w:val="00095537"/>
    <w:rsid w:val="000955F0"/>
    <w:rsid w:val="00095713"/>
    <w:rsid w:val="00095CE9"/>
    <w:rsid w:val="00096794"/>
    <w:rsid w:val="00096D02"/>
    <w:rsid w:val="00096E94"/>
    <w:rsid w:val="00097967"/>
    <w:rsid w:val="000A0E23"/>
    <w:rsid w:val="000A1770"/>
    <w:rsid w:val="000A2793"/>
    <w:rsid w:val="000A317D"/>
    <w:rsid w:val="000A3967"/>
    <w:rsid w:val="000A422C"/>
    <w:rsid w:val="000A4B96"/>
    <w:rsid w:val="000A61ED"/>
    <w:rsid w:val="000A6325"/>
    <w:rsid w:val="000A70E5"/>
    <w:rsid w:val="000A76CC"/>
    <w:rsid w:val="000A7844"/>
    <w:rsid w:val="000A7CF7"/>
    <w:rsid w:val="000B0511"/>
    <w:rsid w:val="000B21DE"/>
    <w:rsid w:val="000B2311"/>
    <w:rsid w:val="000B2B73"/>
    <w:rsid w:val="000B2B87"/>
    <w:rsid w:val="000B2E21"/>
    <w:rsid w:val="000B31E4"/>
    <w:rsid w:val="000B41AF"/>
    <w:rsid w:val="000B4848"/>
    <w:rsid w:val="000B4B7B"/>
    <w:rsid w:val="000B4E85"/>
    <w:rsid w:val="000B5339"/>
    <w:rsid w:val="000B6306"/>
    <w:rsid w:val="000B6361"/>
    <w:rsid w:val="000B71CF"/>
    <w:rsid w:val="000B72C7"/>
    <w:rsid w:val="000B72D8"/>
    <w:rsid w:val="000B7951"/>
    <w:rsid w:val="000C0798"/>
    <w:rsid w:val="000C0C41"/>
    <w:rsid w:val="000C0D3B"/>
    <w:rsid w:val="000C1183"/>
    <w:rsid w:val="000C1B48"/>
    <w:rsid w:val="000C1C2A"/>
    <w:rsid w:val="000C2CD3"/>
    <w:rsid w:val="000C3816"/>
    <w:rsid w:val="000C3EAF"/>
    <w:rsid w:val="000C478B"/>
    <w:rsid w:val="000C5D8E"/>
    <w:rsid w:val="000C5EC7"/>
    <w:rsid w:val="000C6005"/>
    <w:rsid w:val="000C6149"/>
    <w:rsid w:val="000C63C6"/>
    <w:rsid w:val="000C6868"/>
    <w:rsid w:val="000C6BA1"/>
    <w:rsid w:val="000C7925"/>
    <w:rsid w:val="000C7FD0"/>
    <w:rsid w:val="000D0103"/>
    <w:rsid w:val="000D0B25"/>
    <w:rsid w:val="000D1363"/>
    <w:rsid w:val="000D1B22"/>
    <w:rsid w:val="000D1CA4"/>
    <w:rsid w:val="000D1CC1"/>
    <w:rsid w:val="000D1EBE"/>
    <w:rsid w:val="000D2119"/>
    <w:rsid w:val="000D22AE"/>
    <w:rsid w:val="000D341C"/>
    <w:rsid w:val="000D3DC6"/>
    <w:rsid w:val="000D43E6"/>
    <w:rsid w:val="000D44D0"/>
    <w:rsid w:val="000D4720"/>
    <w:rsid w:val="000D4AA4"/>
    <w:rsid w:val="000D55CD"/>
    <w:rsid w:val="000D5A06"/>
    <w:rsid w:val="000D6301"/>
    <w:rsid w:val="000D63EF"/>
    <w:rsid w:val="000D650B"/>
    <w:rsid w:val="000D6780"/>
    <w:rsid w:val="000D6D05"/>
    <w:rsid w:val="000D6ED1"/>
    <w:rsid w:val="000D7781"/>
    <w:rsid w:val="000D7C3A"/>
    <w:rsid w:val="000E01D6"/>
    <w:rsid w:val="000E15DB"/>
    <w:rsid w:val="000E1881"/>
    <w:rsid w:val="000E1BE7"/>
    <w:rsid w:val="000E1EAC"/>
    <w:rsid w:val="000E21EC"/>
    <w:rsid w:val="000E2246"/>
    <w:rsid w:val="000E2402"/>
    <w:rsid w:val="000E3067"/>
    <w:rsid w:val="000E32D6"/>
    <w:rsid w:val="000E49D8"/>
    <w:rsid w:val="000E6AA5"/>
    <w:rsid w:val="000E7738"/>
    <w:rsid w:val="000E78AF"/>
    <w:rsid w:val="000E7BC4"/>
    <w:rsid w:val="000F0457"/>
    <w:rsid w:val="000F1436"/>
    <w:rsid w:val="000F14F4"/>
    <w:rsid w:val="000F3C81"/>
    <w:rsid w:val="000F3F4D"/>
    <w:rsid w:val="000F4283"/>
    <w:rsid w:val="000F4E0A"/>
    <w:rsid w:val="000F4F64"/>
    <w:rsid w:val="000F5F8B"/>
    <w:rsid w:val="000F6E02"/>
    <w:rsid w:val="00100515"/>
    <w:rsid w:val="001007C8"/>
    <w:rsid w:val="00101C41"/>
    <w:rsid w:val="00101D90"/>
    <w:rsid w:val="00101F77"/>
    <w:rsid w:val="00101F7E"/>
    <w:rsid w:val="00102066"/>
    <w:rsid w:val="00102210"/>
    <w:rsid w:val="00104A7F"/>
    <w:rsid w:val="001057B6"/>
    <w:rsid w:val="001059EA"/>
    <w:rsid w:val="00105AF6"/>
    <w:rsid w:val="001063E0"/>
    <w:rsid w:val="001068E8"/>
    <w:rsid w:val="00107268"/>
    <w:rsid w:val="001072C1"/>
    <w:rsid w:val="001105CE"/>
    <w:rsid w:val="00110850"/>
    <w:rsid w:val="001117EF"/>
    <w:rsid w:val="00112961"/>
    <w:rsid w:val="00112A61"/>
    <w:rsid w:val="00112B64"/>
    <w:rsid w:val="001141B2"/>
    <w:rsid w:val="00114CB1"/>
    <w:rsid w:val="00114EBC"/>
    <w:rsid w:val="00114F5E"/>
    <w:rsid w:val="00116055"/>
    <w:rsid w:val="001167BE"/>
    <w:rsid w:val="0011692F"/>
    <w:rsid w:val="00117155"/>
    <w:rsid w:val="00117171"/>
    <w:rsid w:val="0011724C"/>
    <w:rsid w:val="0012015B"/>
    <w:rsid w:val="001202C2"/>
    <w:rsid w:val="00120F91"/>
    <w:rsid w:val="00121087"/>
    <w:rsid w:val="00121551"/>
    <w:rsid w:val="00122F57"/>
    <w:rsid w:val="00123421"/>
    <w:rsid w:val="001239E4"/>
    <w:rsid w:val="00123FF7"/>
    <w:rsid w:val="00124182"/>
    <w:rsid w:val="00124B49"/>
    <w:rsid w:val="00124D33"/>
    <w:rsid w:val="001254B5"/>
    <w:rsid w:val="00126DFF"/>
    <w:rsid w:val="00127DCF"/>
    <w:rsid w:val="00127F6A"/>
    <w:rsid w:val="00130B3A"/>
    <w:rsid w:val="00130C7A"/>
    <w:rsid w:val="00132463"/>
    <w:rsid w:val="00132639"/>
    <w:rsid w:val="001333CF"/>
    <w:rsid w:val="001338D8"/>
    <w:rsid w:val="001346BB"/>
    <w:rsid w:val="00134E10"/>
    <w:rsid w:val="001354BB"/>
    <w:rsid w:val="00135645"/>
    <w:rsid w:val="00136080"/>
    <w:rsid w:val="00136E21"/>
    <w:rsid w:val="00136FD6"/>
    <w:rsid w:val="00137831"/>
    <w:rsid w:val="00137E00"/>
    <w:rsid w:val="00137FB7"/>
    <w:rsid w:val="00140450"/>
    <w:rsid w:val="00141F00"/>
    <w:rsid w:val="001426C9"/>
    <w:rsid w:val="001431A1"/>
    <w:rsid w:val="00143A4D"/>
    <w:rsid w:val="00144DA8"/>
    <w:rsid w:val="0014600A"/>
    <w:rsid w:val="00146430"/>
    <w:rsid w:val="00147815"/>
    <w:rsid w:val="00150D2D"/>
    <w:rsid w:val="00150F1D"/>
    <w:rsid w:val="00150F73"/>
    <w:rsid w:val="001513FC"/>
    <w:rsid w:val="001518C5"/>
    <w:rsid w:val="00152233"/>
    <w:rsid w:val="00152FF0"/>
    <w:rsid w:val="00153D83"/>
    <w:rsid w:val="001542CA"/>
    <w:rsid w:val="001556C0"/>
    <w:rsid w:val="001556DB"/>
    <w:rsid w:val="00155FC1"/>
    <w:rsid w:val="00156510"/>
    <w:rsid w:val="001565AD"/>
    <w:rsid w:val="00157440"/>
    <w:rsid w:val="001605E7"/>
    <w:rsid w:val="00160A1A"/>
    <w:rsid w:val="00160A6F"/>
    <w:rsid w:val="00160EF3"/>
    <w:rsid w:val="00160F53"/>
    <w:rsid w:val="00161B6F"/>
    <w:rsid w:val="00161C7D"/>
    <w:rsid w:val="00161FEB"/>
    <w:rsid w:val="00162514"/>
    <w:rsid w:val="00163EF9"/>
    <w:rsid w:val="00163F65"/>
    <w:rsid w:val="001651C3"/>
    <w:rsid w:val="001651DF"/>
    <w:rsid w:val="001652E3"/>
    <w:rsid w:val="0016545F"/>
    <w:rsid w:val="00165874"/>
    <w:rsid w:val="00166030"/>
    <w:rsid w:val="00166A66"/>
    <w:rsid w:val="00166D03"/>
    <w:rsid w:val="00167018"/>
    <w:rsid w:val="00167C68"/>
    <w:rsid w:val="001701FF"/>
    <w:rsid w:val="00170C29"/>
    <w:rsid w:val="00171D7A"/>
    <w:rsid w:val="001727F3"/>
    <w:rsid w:val="00172D92"/>
    <w:rsid w:val="0017305B"/>
    <w:rsid w:val="00173D40"/>
    <w:rsid w:val="00174659"/>
    <w:rsid w:val="00174901"/>
    <w:rsid w:val="00174932"/>
    <w:rsid w:val="00176497"/>
    <w:rsid w:val="00177F69"/>
    <w:rsid w:val="001811AA"/>
    <w:rsid w:val="0018236D"/>
    <w:rsid w:val="00183679"/>
    <w:rsid w:val="00183FAB"/>
    <w:rsid w:val="00184DD7"/>
    <w:rsid w:val="00184F4E"/>
    <w:rsid w:val="001855E4"/>
    <w:rsid w:val="00185632"/>
    <w:rsid w:val="00185A0A"/>
    <w:rsid w:val="001879C6"/>
    <w:rsid w:val="00191D05"/>
    <w:rsid w:val="001924D4"/>
    <w:rsid w:val="0019294B"/>
    <w:rsid w:val="00192AA2"/>
    <w:rsid w:val="00192C30"/>
    <w:rsid w:val="00193C56"/>
    <w:rsid w:val="00193FF0"/>
    <w:rsid w:val="00194375"/>
    <w:rsid w:val="0019533C"/>
    <w:rsid w:val="00195394"/>
    <w:rsid w:val="00195985"/>
    <w:rsid w:val="00195D1B"/>
    <w:rsid w:val="00196622"/>
    <w:rsid w:val="0019711E"/>
    <w:rsid w:val="001971B4"/>
    <w:rsid w:val="001977BF"/>
    <w:rsid w:val="001A0869"/>
    <w:rsid w:val="001A18C2"/>
    <w:rsid w:val="001A2CA1"/>
    <w:rsid w:val="001A2D6B"/>
    <w:rsid w:val="001A2F7D"/>
    <w:rsid w:val="001A3461"/>
    <w:rsid w:val="001A3A79"/>
    <w:rsid w:val="001A3B9B"/>
    <w:rsid w:val="001A44F5"/>
    <w:rsid w:val="001A484A"/>
    <w:rsid w:val="001A526C"/>
    <w:rsid w:val="001A5D5D"/>
    <w:rsid w:val="001A6174"/>
    <w:rsid w:val="001A7016"/>
    <w:rsid w:val="001A70E3"/>
    <w:rsid w:val="001A7AA9"/>
    <w:rsid w:val="001B0CD4"/>
    <w:rsid w:val="001B0F90"/>
    <w:rsid w:val="001B283E"/>
    <w:rsid w:val="001B359D"/>
    <w:rsid w:val="001B37DD"/>
    <w:rsid w:val="001B44DC"/>
    <w:rsid w:val="001B4568"/>
    <w:rsid w:val="001B456A"/>
    <w:rsid w:val="001B4641"/>
    <w:rsid w:val="001B4C67"/>
    <w:rsid w:val="001B4CF9"/>
    <w:rsid w:val="001B4EA2"/>
    <w:rsid w:val="001B563E"/>
    <w:rsid w:val="001B5D08"/>
    <w:rsid w:val="001B6B80"/>
    <w:rsid w:val="001B6F8C"/>
    <w:rsid w:val="001B742F"/>
    <w:rsid w:val="001B7532"/>
    <w:rsid w:val="001B794A"/>
    <w:rsid w:val="001B7B29"/>
    <w:rsid w:val="001C0606"/>
    <w:rsid w:val="001C0F32"/>
    <w:rsid w:val="001C2463"/>
    <w:rsid w:val="001C32BB"/>
    <w:rsid w:val="001C336C"/>
    <w:rsid w:val="001C477E"/>
    <w:rsid w:val="001C482C"/>
    <w:rsid w:val="001C4C2E"/>
    <w:rsid w:val="001C4F59"/>
    <w:rsid w:val="001C552C"/>
    <w:rsid w:val="001C7082"/>
    <w:rsid w:val="001C7B04"/>
    <w:rsid w:val="001C7C7A"/>
    <w:rsid w:val="001D0772"/>
    <w:rsid w:val="001D12BD"/>
    <w:rsid w:val="001D1397"/>
    <w:rsid w:val="001D15E1"/>
    <w:rsid w:val="001D1928"/>
    <w:rsid w:val="001D2AF1"/>
    <w:rsid w:val="001D3139"/>
    <w:rsid w:val="001D3659"/>
    <w:rsid w:val="001D3B7E"/>
    <w:rsid w:val="001D3F71"/>
    <w:rsid w:val="001D40F6"/>
    <w:rsid w:val="001D42DC"/>
    <w:rsid w:val="001D4656"/>
    <w:rsid w:val="001D629B"/>
    <w:rsid w:val="001D642F"/>
    <w:rsid w:val="001D6515"/>
    <w:rsid w:val="001D7453"/>
    <w:rsid w:val="001D7C3F"/>
    <w:rsid w:val="001D7EBE"/>
    <w:rsid w:val="001E0AE7"/>
    <w:rsid w:val="001E1B4C"/>
    <w:rsid w:val="001E1C7A"/>
    <w:rsid w:val="001E1E89"/>
    <w:rsid w:val="001E290C"/>
    <w:rsid w:val="001E2E5A"/>
    <w:rsid w:val="001E33C0"/>
    <w:rsid w:val="001E3C59"/>
    <w:rsid w:val="001E3EE2"/>
    <w:rsid w:val="001E4DB1"/>
    <w:rsid w:val="001E4F75"/>
    <w:rsid w:val="001E5CC4"/>
    <w:rsid w:val="001E66ED"/>
    <w:rsid w:val="001E6810"/>
    <w:rsid w:val="001E77F3"/>
    <w:rsid w:val="001E7CAA"/>
    <w:rsid w:val="001F033B"/>
    <w:rsid w:val="001F16F2"/>
    <w:rsid w:val="001F188E"/>
    <w:rsid w:val="001F2EF8"/>
    <w:rsid w:val="001F32D5"/>
    <w:rsid w:val="001F3976"/>
    <w:rsid w:val="001F3BE9"/>
    <w:rsid w:val="001F4215"/>
    <w:rsid w:val="001F43B7"/>
    <w:rsid w:val="001F4439"/>
    <w:rsid w:val="001F50BB"/>
    <w:rsid w:val="001F5C13"/>
    <w:rsid w:val="001F684F"/>
    <w:rsid w:val="001F6A57"/>
    <w:rsid w:val="001F70EA"/>
    <w:rsid w:val="001F7E0C"/>
    <w:rsid w:val="0020065A"/>
    <w:rsid w:val="00200A9E"/>
    <w:rsid w:val="00200F14"/>
    <w:rsid w:val="0020162B"/>
    <w:rsid w:val="00202064"/>
    <w:rsid w:val="00203816"/>
    <w:rsid w:val="00203C96"/>
    <w:rsid w:val="0020437F"/>
    <w:rsid w:val="002047FB"/>
    <w:rsid w:val="00204DB7"/>
    <w:rsid w:val="0020686D"/>
    <w:rsid w:val="002074CF"/>
    <w:rsid w:val="0020755C"/>
    <w:rsid w:val="00207E1E"/>
    <w:rsid w:val="00210007"/>
    <w:rsid w:val="0021056F"/>
    <w:rsid w:val="00210F40"/>
    <w:rsid w:val="00211132"/>
    <w:rsid w:val="0021233B"/>
    <w:rsid w:val="002124F0"/>
    <w:rsid w:val="00213BF5"/>
    <w:rsid w:val="00214B10"/>
    <w:rsid w:val="00214EA3"/>
    <w:rsid w:val="002151C0"/>
    <w:rsid w:val="0021521D"/>
    <w:rsid w:val="0021684D"/>
    <w:rsid w:val="00217731"/>
    <w:rsid w:val="00220960"/>
    <w:rsid w:val="00220FED"/>
    <w:rsid w:val="00221ADC"/>
    <w:rsid w:val="00221D4A"/>
    <w:rsid w:val="002221D6"/>
    <w:rsid w:val="0022239E"/>
    <w:rsid w:val="00222C90"/>
    <w:rsid w:val="00223634"/>
    <w:rsid w:val="0022381D"/>
    <w:rsid w:val="0022410B"/>
    <w:rsid w:val="0022437F"/>
    <w:rsid w:val="002252A0"/>
    <w:rsid w:val="0022546D"/>
    <w:rsid w:val="0022681B"/>
    <w:rsid w:val="00226DB1"/>
    <w:rsid w:val="00226DB6"/>
    <w:rsid w:val="00227899"/>
    <w:rsid w:val="002315B9"/>
    <w:rsid w:val="00231777"/>
    <w:rsid w:val="002329A9"/>
    <w:rsid w:val="002329BD"/>
    <w:rsid w:val="00233468"/>
    <w:rsid w:val="002336D0"/>
    <w:rsid w:val="002337C2"/>
    <w:rsid w:val="00233A15"/>
    <w:rsid w:val="00234371"/>
    <w:rsid w:val="00234C4B"/>
    <w:rsid w:val="00235209"/>
    <w:rsid w:val="00235349"/>
    <w:rsid w:val="00236DE0"/>
    <w:rsid w:val="00237016"/>
    <w:rsid w:val="002406AB"/>
    <w:rsid w:val="00240B4D"/>
    <w:rsid w:val="00242120"/>
    <w:rsid w:val="00242204"/>
    <w:rsid w:val="0024227F"/>
    <w:rsid w:val="002426E4"/>
    <w:rsid w:val="00242823"/>
    <w:rsid w:val="00242E12"/>
    <w:rsid w:val="00243F72"/>
    <w:rsid w:val="002441D3"/>
    <w:rsid w:val="00245109"/>
    <w:rsid w:val="00245C8A"/>
    <w:rsid w:val="00246757"/>
    <w:rsid w:val="00246ABD"/>
    <w:rsid w:val="00246FEC"/>
    <w:rsid w:val="00247048"/>
    <w:rsid w:val="002473D9"/>
    <w:rsid w:val="00247657"/>
    <w:rsid w:val="00247EB7"/>
    <w:rsid w:val="00247F89"/>
    <w:rsid w:val="00250F66"/>
    <w:rsid w:val="00251EEF"/>
    <w:rsid w:val="0025213A"/>
    <w:rsid w:val="00252E42"/>
    <w:rsid w:val="00252EB5"/>
    <w:rsid w:val="002536E6"/>
    <w:rsid w:val="00253F3D"/>
    <w:rsid w:val="00255060"/>
    <w:rsid w:val="00255C31"/>
    <w:rsid w:val="0025631D"/>
    <w:rsid w:val="00256837"/>
    <w:rsid w:val="00256B22"/>
    <w:rsid w:val="00256C2E"/>
    <w:rsid w:val="00256E49"/>
    <w:rsid w:val="002573BD"/>
    <w:rsid w:val="002575DF"/>
    <w:rsid w:val="00257751"/>
    <w:rsid w:val="00261470"/>
    <w:rsid w:val="00261757"/>
    <w:rsid w:val="00261911"/>
    <w:rsid w:val="002640AF"/>
    <w:rsid w:val="00264686"/>
    <w:rsid w:val="002647C7"/>
    <w:rsid w:val="002649DB"/>
    <w:rsid w:val="002653C6"/>
    <w:rsid w:val="002662E6"/>
    <w:rsid w:val="00266831"/>
    <w:rsid w:val="00267623"/>
    <w:rsid w:val="002677A8"/>
    <w:rsid w:val="00267BDF"/>
    <w:rsid w:val="002702F2"/>
    <w:rsid w:val="002703C9"/>
    <w:rsid w:val="00270F1E"/>
    <w:rsid w:val="0027160D"/>
    <w:rsid w:val="00272114"/>
    <w:rsid w:val="002731A7"/>
    <w:rsid w:val="00274B9B"/>
    <w:rsid w:val="00274E86"/>
    <w:rsid w:val="002753B2"/>
    <w:rsid w:val="00276C59"/>
    <w:rsid w:val="00277691"/>
    <w:rsid w:val="00280E56"/>
    <w:rsid w:val="0028114B"/>
    <w:rsid w:val="00281253"/>
    <w:rsid w:val="00281B47"/>
    <w:rsid w:val="00282288"/>
    <w:rsid w:val="0028256C"/>
    <w:rsid w:val="002825E3"/>
    <w:rsid w:val="002825F2"/>
    <w:rsid w:val="00282C72"/>
    <w:rsid w:val="002830F9"/>
    <w:rsid w:val="00283134"/>
    <w:rsid w:val="0028379A"/>
    <w:rsid w:val="0028392B"/>
    <w:rsid w:val="00283BF8"/>
    <w:rsid w:val="00284F30"/>
    <w:rsid w:val="0028522A"/>
    <w:rsid w:val="00286007"/>
    <w:rsid w:val="002863DD"/>
    <w:rsid w:val="002865E1"/>
    <w:rsid w:val="0028704B"/>
    <w:rsid w:val="00287A17"/>
    <w:rsid w:val="00287DD2"/>
    <w:rsid w:val="00287E04"/>
    <w:rsid w:val="0029035F"/>
    <w:rsid w:val="002913BF"/>
    <w:rsid w:val="00292DD4"/>
    <w:rsid w:val="00293AF6"/>
    <w:rsid w:val="00293F63"/>
    <w:rsid w:val="00294C90"/>
    <w:rsid w:val="00295DE7"/>
    <w:rsid w:val="00295EDE"/>
    <w:rsid w:val="0029605F"/>
    <w:rsid w:val="00296276"/>
    <w:rsid w:val="00296343"/>
    <w:rsid w:val="00296C97"/>
    <w:rsid w:val="00296D60"/>
    <w:rsid w:val="00296E6B"/>
    <w:rsid w:val="002970B5"/>
    <w:rsid w:val="002977BB"/>
    <w:rsid w:val="00297EB7"/>
    <w:rsid w:val="002A169E"/>
    <w:rsid w:val="002A22DE"/>
    <w:rsid w:val="002A2383"/>
    <w:rsid w:val="002A26CB"/>
    <w:rsid w:val="002A26E3"/>
    <w:rsid w:val="002A3012"/>
    <w:rsid w:val="002A3497"/>
    <w:rsid w:val="002A3714"/>
    <w:rsid w:val="002A41D0"/>
    <w:rsid w:val="002A462B"/>
    <w:rsid w:val="002A4A03"/>
    <w:rsid w:val="002A5F49"/>
    <w:rsid w:val="002A6BE6"/>
    <w:rsid w:val="002A78DC"/>
    <w:rsid w:val="002A7DFF"/>
    <w:rsid w:val="002B037D"/>
    <w:rsid w:val="002B23A8"/>
    <w:rsid w:val="002B2815"/>
    <w:rsid w:val="002B3888"/>
    <w:rsid w:val="002B4E58"/>
    <w:rsid w:val="002B4FCD"/>
    <w:rsid w:val="002B537B"/>
    <w:rsid w:val="002B54E9"/>
    <w:rsid w:val="002B5C43"/>
    <w:rsid w:val="002B6242"/>
    <w:rsid w:val="002B64AE"/>
    <w:rsid w:val="002B6560"/>
    <w:rsid w:val="002B7717"/>
    <w:rsid w:val="002B7839"/>
    <w:rsid w:val="002C0C4A"/>
    <w:rsid w:val="002C0E8D"/>
    <w:rsid w:val="002C195F"/>
    <w:rsid w:val="002C22F3"/>
    <w:rsid w:val="002C231C"/>
    <w:rsid w:val="002C2AAB"/>
    <w:rsid w:val="002C2D3D"/>
    <w:rsid w:val="002C4262"/>
    <w:rsid w:val="002C4C5E"/>
    <w:rsid w:val="002C514E"/>
    <w:rsid w:val="002C559C"/>
    <w:rsid w:val="002C55D0"/>
    <w:rsid w:val="002C654B"/>
    <w:rsid w:val="002C6AB0"/>
    <w:rsid w:val="002C6AFD"/>
    <w:rsid w:val="002C7267"/>
    <w:rsid w:val="002C7772"/>
    <w:rsid w:val="002C7E69"/>
    <w:rsid w:val="002D07C8"/>
    <w:rsid w:val="002D0DBA"/>
    <w:rsid w:val="002D1762"/>
    <w:rsid w:val="002D1EA0"/>
    <w:rsid w:val="002D2217"/>
    <w:rsid w:val="002D297A"/>
    <w:rsid w:val="002D2BC1"/>
    <w:rsid w:val="002D2F9E"/>
    <w:rsid w:val="002D33E0"/>
    <w:rsid w:val="002D391D"/>
    <w:rsid w:val="002D5844"/>
    <w:rsid w:val="002D5D4E"/>
    <w:rsid w:val="002E08C8"/>
    <w:rsid w:val="002E0CD9"/>
    <w:rsid w:val="002E161E"/>
    <w:rsid w:val="002E1EA7"/>
    <w:rsid w:val="002E2704"/>
    <w:rsid w:val="002E28F2"/>
    <w:rsid w:val="002E2C01"/>
    <w:rsid w:val="002E31D5"/>
    <w:rsid w:val="002E33D3"/>
    <w:rsid w:val="002E4325"/>
    <w:rsid w:val="002E4603"/>
    <w:rsid w:val="002E4DBA"/>
    <w:rsid w:val="002E54DE"/>
    <w:rsid w:val="002E5581"/>
    <w:rsid w:val="002E5ABC"/>
    <w:rsid w:val="002E5F84"/>
    <w:rsid w:val="002E65A1"/>
    <w:rsid w:val="002E7069"/>
    <w:rsid w:val="002F1048"/>
    <w:rsid w:val="002F10CD"/>
    <w:rsid w:val="002F1401"/>
    <w:rsid w:val="002F1B9F"/>
    <w:rsid w:val="002F33D2"/>
    <w:rsid w:val="002F3DC1"/>
    <w:rsid w:val="002F4C3C"/>
    <w:rsid w:val="002F54A1"/>
    <w:rsid w:val="002F58E2"/>
    <w:rsid w:val="002F7C7C"/>
    <w:rsid w:val="002F7D4F"/>
    <w:rsid w:val="0030028E"/>
    <w:rsid w:val="0030073F"/>
    <w:rsid w:val="003014D6"/>
    <w:rsid w:val="00301703"/>
    <w:rsid w:val="0030181E"/>
    <w:rsid w:val="003018BA"/>
    <w:rsid w:val="0030247B"/>
    <w:rsid w:val="003025B6"/>
    <w:rsid w:val="00302BCB"/>
    <w:rsid w:val="00302F25"/>
    <w:rsid w:val="0030403B"/>
    <w:rsid w:val="003043EB"/>
    <w:rsid w:val="00304DB3"/>
    <w:rsid w:val="00306261"/>
    <w:rsid w:val="00306735"/>
    <w:rsid w:val="00306B84"/>
    <w:rsid w:val="00306DD5"/>
    <w:rsid w:val="003075BD"/>
    <w:rsid w:val="003079BD"/>
    <w:rsid w:val="00307F12"/>
    <w:rsid w:val="0031044C"/>
    <w:rsid w:val="00310E05"/>
    <w:rsid w:val="00312F2C"/>
    <w:rsid w:val="003132E2"/>
    <w:rsid w:val="003138C2"/>
    <w:rsid w:val="00314ECD"/>
    <w:rsid w:val="00315283"/>
    <w:rsid w:val="003159E7"/>
    <w:rsid w:val="00315ACE"/>
    <w:rsid w:val="00315BB2"/>
    <w:rsid w:val="00316055"/>
    <w:rsid w:val="0031626A"/>
    <w:rsid w:val="00316716"/>
    <w:rsid w:val="0031690C"/>
    <w:rsid w:val="00316FE9"/>
    <w:rsid w:val="003173FA"/>
    <w:rsid w:val="0031766B"/>
    <w:rsid w:val="00317874"/>
    <w:rsid w:val="003178FC"/>
    <w:rsid w:val="00317E15"/>
    <w:rsid w:val="0032092D"/>
    <w:rsid w:val="00321974"/>
    <w:rsid w:val="00321B57"/>
    <w:rsid w:val="00321D55"/>
    <w:rsid w:val="00321DA0"/>
    <w:rsid w:val="0032318C"/>
    <w:rsid w:val="003243CD"/>
    <w:rsid w:val="00324F00"/>
    <w:rsid w:val="003255E2"/>
    <w:rsid w:val="003258E9"/>
    <w:rsid w:val="00325C32"/>
    <w:rsid w:val="00326026"/>
    <w:rsid w:val="00327D31"/>
    <w:rsid w:val="00327E79"/>
    <w:rsid w:val="00327F6E"/>
    <w:rsid w:val="00330929"/>
    <w:rsid w:val="00330CA0"/>
    <w:rsid w:val="003310F5"/>
    <w:rsid w:val="0033190D"/>
    <w:rsid w:val="003336F3"/>
    <w:rsid w:val="003344B4"/>
    <w:rsid w:val="003345F4"/>
    <w:rsid w:val="00334F27"/>
    <w:rsid w:val="00334FCB"/>
    <w:rsid w:val="003355E8"/>
    <w:rsid w:val="00335D0E"/>
    <w:rsid w:val="00336064"/>
    <w:rsid w:val="00336B81"/>
    <w:rsid w:val="003376ED"/>
    <w:rsid w:val="00337789"/>
    <w:rsid w:val="00337948"/>
    <w:rsid w:val="0034022A"/>
    <w:rsid w:val="0034042C"/>
    <w:rsid w:val="00340885"/>
    <w:rsid w:val="0034158C"/>
    <w:rsid w:val="00342D07"/>
    <w:rsid w:val="003431F4"/>
    <w:rsid w:val="0034386A"/>
    <w:rsid w:val="00343906"/>
    <w:rsid w:val="00343A15"/>
    <w:rsid w:val="00343C57"/>
    <w:rsid w:val="003442FB"/>
    <w:rsid w:val="0034489C"/>
    <w:rsid w:val="00345055"/>
    <w:rsid w:val="0034539B"/>
    <w:rsid w:val="00345A9F"/>
    <w:rsid w:val="00346AFE"/>
    <w:rsid w:val="003477DB"/>
    <w:rsid w:val="00347DAA"/>
    <w:rsid w:val="0035006F"/>
    <w:rsid w:val="00350675"/>
    <w:rsid w:val="0035093D"/>
    <w:rsid w:val="003511BA"/>
    <w:rsid w:val="003521BD"/>
    <w:rsid w:val="003521F9"/>
    <w:rsid w:val="00352599"/>
    <w:rsid w:val="0035261E"/>
    <w:rsid w:val="00352FFD"/>
    <w:rsid w:val="003538FE"/>
    <w:rsid w:val="003541A3"/>
    <w:rsid w:val="00355082"/>
    <w:rsid w:val="00355198"/>
    <w:rsid w:val="00355314"/>
    <w:rsid w:val="0035543A"/>
    <w:rsid w:val="003556B3"/>
    <w:rsid w:val="0035689A"/>
    <w:rsid w:val="00356A08"/>
    <w:rsid w:val="00356EFA"/>
    <w:rsid w:val="003572F5"/>
    <w:rsid w:val="00357537"/>
    <w:rsid w:val="003575E2"/>
    <w:rsid w:val="00357EA1"/>
    <w:rsid w:val="00361EB5"/>
    <w:rsid w:val="0036224F"/>
    <w:rsid w:val="0036229C"/>
    <w:rsid w:val="003631E6"/>
    <w:rsid w:val="0036387A"/>
    <w:rsid w:val="00363A4B"/>
    <w:rsid w:val="003642AF"/>
    <w:rsid w:val="00364503"/>
    <w:rsid w:val="00365DA7"/>
    <w:rsid w:val="00366329"/>
    <w:rsid w:val="00366568"/>
    <w:rsid w:val="0036795C"/>
    <w:rsid w:val="00368232"/>
    <w:rsid w:val="00371DBC"/>
    <w:rsid w:val="003737CA"/>
    <w:rsid w:val="00373B8F"/>
    <w:rsid w:val="00375BF0"/>
    <w:rsid w:val="00375F40"/>
    <w:rsid w:val="003761EF"/>
    <w:rsid w:val="003765C3"/>
    <w:rsid w:val="00377C5A"/>
    <w:rsid w:val="0038077F"/>
    <w:rsid w:val="00380F5F"/>
    <w:rsid w:val="0038109E"/>
    <w:rsid w:val="00381DEF"/>
    <w:rsid w:val="00382348"/>
    <w:rsid w:val="00383235"/>
    <w:rsid w:val="00383EC2"/>
    <w:rsid w:val="00384BF0"/>
    <w:rsid w:val="00385990"/>
    <w:rsid w:val="003859AC"/>
    <w:rsid w:val="00385A19"/>
    <w:rsid w:val="00386A88"/>
    <w:rsid w:val="00386C20"/>
    <w:rsid w:val="00386FA1"/>
    <w:rsid w:val="00387B03"/>
    <w:rsid w:val="00387D81"/>
    <w:rsid w:val="00392BC0"/>
    <w:rsid w:val="00392D6F"/>
    <w:rsid w:val="00394731"/>
    <w:rsid w:val="003957B3"/>
    <w:rsid w:val="003962E8"/>
    <w:rsid w:val="00396664"/>
    <w:rsid w:val="00396B1B"/>
    <w:rsid w:val="00396EFC"/>
    <w:rsid w:val="003A01D9"/>
    <w:rsid w:val="003A127C"/>
    <w:rsid w:val="003A135F"/>
    <w:rsid w:val="003A18CD"/>
    <w:rsid w:val="003A25F1"/>
    <w:rsid w:val="003A2FCB"/>
    <w:rsid w:val="003A39E2"/>
    <w:rsid w:val="003A3DB5"/>
    <w:rsid w:val="003A5617"/>
    <w:rsid w:val="003A5643"/>
    <w:rsid w:val="003A5BD1"/>
    <w:rsid w:val="003A5CCE"/>
    <w:rsid w:val="003A6B1E"/>
    <w:rsid w:val="003A6B94"/>
    <w:rsid w:val="003A6D57"/>
    <w:rsid w:val="003B011D"/>
    <w:rsid w:val="003B0175"/>
    <w:rsid w:val="003B0A5F"/>
    <w:rsid w:val="003B0CE4"/>
    <w:rsid w:val="003B16CD"/>
    <w:rsid w:val="003B27A3"/>
    <w:rsid w:val="003B4203"/>
    <w:rsid w:val="003B4267"/>
    <w:rsid w:val="003B42D4"/>
    <w:rsid w:val="003B46E3"/>
    <w:rsid w:val="003B580C"/>
    <w:rsid w:val="003B5D8B"/>
    <w:rsid w:val="003B65B8"/>
    <w:rsid w:val="003B677B"/>
    <w:rsid w:val="003B7081"/>
    <w:rsid w:val="003B71EB"/>
    <w:rsid w:val="003B76BA"/>
    <w:rsid w:val="003B7927"/>
    <w:rsid w:val="003B7974"/>
    <w:rsid w:val="003C007A"/>
    <w:rsid w:val="003C2389"/>
    <w:rsid w:val="003C26E9"/>
    <w:rsid w:val="003C2857"/>
    <w:rsid w:val="003C2C51"/>
    <w:rsid w:val="003C45E9"/>
    <w:rsid w:val="003C518C"/>
    <w:rsid w:val="003C602A"/>
    <w:rsid w:val="003D2059"/>
    <w:rsid w:val="003D235B"/>
    <w:rsid w:val="003D37EC"/>
    <w:rsid w:val="003D3DB6"/>
    <w:rsid w:val="003D3ECD"/>
    <w:rsid w:val="003D41B6"/>
    <w:rsid w:val="003D4E0D"/>
    <w:rsid w:val="003D577F"/>
    <w:rsid w:val="003D6B66"/>
    <w:rsid w:val="003D7AC8"/>
    <w:rsid w:val="003D7CA2"/>
    <w:rsid w:val="003E0A13"/>
    <w:rsid w:val="003E0F83"/>
    <w:rsid w:val="003E1233"/>
    <w:rsid w:val="003E1977"/>
    <w:rsid w:val="003E1BC4"/>
    <w:rsid w:val="003E1D9A"/>
    <w:rsid w:val="003E3CA2"/>
    <w:rsid w:val="003E57FB"/>
    <w:rsid w:val="003E6732"/>
    <w:rsid w:val="003E675A"/>
    <w:rsid w:val="003E680C"/>
    <w:rsid w:val="003E680E"/>
    <w:rsid w:val="003E71DF"/>
    <w:rsid w:val="003E787D"/>
    <w:rsid w:val="003E7A49"/>
    <w:rsid w:val="003E7BC2"/>
    <w:rsid w:val="003F04B6"/>
    <w:rsid w:val="003F0D1A"/>
    <w:rsid w:val="003F0F8E"/>
    <w:rsid w:val="003F13FF"/>
    <w:rsid w:val="003F1618"/>
    <w:rsid w:val="003F1B5E"/>
    <w:rsid w:val="003F274F"/>
    <w:rsid w:val="003F2E9C"/>
    <w:rsid w:val="003F2F04"/>
    <w:rsid w:val="003F341A"/>
    <w:rsid w:val="003F34F9"/>
    <w:rsid w:val="003F3735"/>
    <w:rsid w:val="003F407A"/>
    <w:rsid w:val="003F40A8"/>
    <w:rsid w:val="003F5553"/>
    <w:rsid w:val="003F56BC"/>
    <w:rsid w:val="003F578F"/>
    <w:rsid w:val="003F58CB"/>
    <w:rsid w:val="003F6768"/>
    <w:rsid w:val="003F6CDB"/>
    <w:rsid w:val="003F76D9"/>
    <w:rsid w:val="003F7BA1"/>
    <w:rsid w:val="00400400"/>
    <w:rsid w:val="00400477"/>
    <w:rsid w:val="004007B6"/>
    <w:rsid w:val="0040097F"/>
    <w:rsid w:val="00400ED7"/>
    <w:rsid w:val="00402FAE"/>
    <w:rsid w:val="00403785"/>
    <w:rsid w:val="00403F14"/>
    <w:rsid w:val="00405553"/>
    <w:rsid w:val="004062F4"/>
    <w:rsid w:val="00406499"/>
    <w:rsid w:val="00406A3B"/>
    <w:rsid w:val="00406C1C"/>
    <w:rsid w:val="00406E0E"/>
    <w:rsid w:val="00407CD7"/>
    <w:rsid w:val="00407D74"/>
    <w:rsid w:val="00407DDB"/>
    <w:rsid w:val="0041016A"/>
    <w:rsid w:val="004101AD"/>
    <w:rsid w:val="00411A6D"/>
    <w:rsid w:val="004128C0"/>
    <w:rsid w:val="004129F4"/>
    <w:rsid w:val="00412BF9"/>
    <w:rsid w:val="00412FCC"/>
    <w:rsid w:val="0041380A"/>
    <w:rsid w:val="00414422"/>
    <w:rsid w:val="00414ABF"/>
    <w:rsid w:val="00414E8E"/>
    <w:rsid w:val="00415359"/>
    <w:rsid w:val="004157DB"/>
    <w:rsid w:val="004158F4"/>
    <w:rsid w:val="004166BD"/>
    <w:rsid w:val="00416927"/>
    <w:rsid w:val="00416CC5"/>
    <w:rsid w:val="00416E75"/>
    <w:rsid w:val="004173B7"/>
    <w:rsid w:val="0041753C"/>
    <w:rsid w:val="00417700"/>
    <w:rsid w:val="00420370"/>
    <w:rsid w:val="00420B17"/>
    <w:rsid w:val="00421539"/>
    <w:rsid w:val="00421AB1"/>
    <w:rsid w:val="004221C6"/>
    <w:rsid w:val="0042331D"/>
    <w:rsid w:val="004234F5"/>
    <w:rsid w:val="00424287"/>
    <w:rsid w:val="00424B66"/>
    <w:rsid w:val="00425ABE"/>
    <w:rsid w:val="00425D8A"/>
    <w:rsid w:val="00426F6D"/>
    <w:rsid w:val="00426F90"/>
    <w:rsid w:val="00426FCE"/>
    <w:rsid w:val="004273BF"/>
    <w:rsid w:val="004276A6"/>
    <w:rsid w:val="00427D0B"/>
    <w:rsid w:val="00427ECD"/>
    <w:rsid w:val="00430CEA"/>
    <w:rsid w:val="00430D15"/>
    <w:rsid w:val="00431269"/>
    <w:rsid w:val="00431AE9"/>
    <w:rsid w:val="00432AFD"/>
    <w:rsid w:val="00432DD4"/>
    <w:rsid w:val="0043330C"/>
    <w:rsid w:val="004340B4"/>
    <w:rsid w:val="004342A5"/>
    <w:rsid w:val="00434679"/>
    <w:rsid w:val="004349AA"/>
    <w:rsid w:val="004350AE"/>
    <w:rsid w:val="00435537"/>
    <w:rsid w:val="004359EC"/>
    <w:rsid w:val="00435F81"/>
    <w:rsid w:val="00436278"/>
    <w:rsid w:val="00436ABF"/>
    <w:rsid w:val="004379B1"/>
    <w:rsid w:val="00437A6E"/>
    <w:rsid w:val="00441100"/>
    <w:rsid w:val="0044212B"/>
    <w:rsid w:val="004428C9"/>
    <w:rsid w:val="00442E9D"/>
    <w:rsid w:val="00443573"/>
    <w:rsid w:val="00443710"/>
    <w:rsid w:val="00443731"/>
    <w:rsid w:val="0044374B"/>
    <w:rsid w:val="00445BEA"/>
    <w:rsid w:val="00446321"/>
    <w:rsid w:val="0044688B"/>
    <w:rsid w:val="00447E0D"/>
    <w:rsid w:val="004514CD"/>
    <w:rsid w:val="004517F7"/>
    <w:rsid w:val="0045256F"/>
    <w:rsid w:val="00453210"/>
    <w:rsid w:val="00453EC2"/>
    <w:rsid w:val="00454405"/>
    <w:rsid w:val="00454987"/>
    <w:rsid w:val="00454ADB"/>
    <w:rsid w:val="00455950"/>
    <w:rsid w:val="00455958"/>
    <w:rsid w:val="00455AE7"/>
    <w:rsid w:val="00455DE4"/>
    <w:rsid w:val="00455E03"/>
    <w:rsid w:val="00456EA2"/>
    <w:rsid w:val="00460175"/>
    <w:rsid w:val="00460832"/>
    <w:rsid w:val="0046143E"/>
    <w:rsid w:val="004617BC"/>
    <w:rsid w:val="0046186F"/>
    <w:rsid w:val="00462B90"/>
    <w:rsid w:val="004634B3"/>
    <w:rsid w:val="004634D1"/>
    <w:rsid w:val="0046358B"/>
    <w:rsid w:val="004635DF"/>
    <w:rsid w:val="00463F91"/>
    <w:rsid w:val="00465763"/>
    <w:rsid w:val="0046598E"/>
    <w:rsid w:val="00466071"/>
    <w:rsid w:val="004663D1"/>
    <w:rsid w:val="00466E6A"/>
    <w:rsid w:val="00466F9F"/>
    <w:rsid w:val="0046709C"/>
    <w:rsid w:val="00467ABF"/>
    <w:rsid w:val="00470DDE"/>
    <w:rsid w:val="00471763"/>
    <w:rsid w:val="00472654"/>
    <w:rsid w:val="00473526"/>
    <w:rsid w:val="00473759"/>
    <w:rsid w:val="00474770"/>
    <w:rsid w:val="004748BD"/>
    <w:rsid w:val="004749B0"/>
    <w:rsid w:val="00474FC1"/>
    <w:rsid w:val="0047508F"/>
    <w:rsid w:val="0047606A"/>
    <w:rsid w:val="00476224"/>
    <w:rsid w:val="0047728A"/>
    <w:rsid w:val="00477D92"/>
    <w:rsid w:val="00480789"/>
    <w:rsid w:val="00481CE1"/>
    <w:rsid w:val="00481E7A"/>
    <w:rsid w:val="00481F75"/>
    <w:rsid w:val="004825AC"/>
    <w:rsid w:val="00482F14"/>
    <w:rsid w:val="0048315F"/>
    <w:rsid w:val="00483A3D"/>
    <w:rsid w:val="00483AAE"/>
    <w:rsid w:val="00483D13"/>
    <w:rsid w:val="004852E5"/>
    <w:rsid w:val="00486795"/>
    <w:rsid w:val="0048783E"/>
    <w:rsid w:val="00487894"/>
    <w:rsid w:val="00487BCA"/>
    <w:rsid w:val="00491BEA"/>
    <w:rsid w:val="00491DF2"/>
    <w:rsid w:val="004925BE"/>
    <w:rsid w:val="004928FB"/>
    <w:rsid w:val="00493B1B"/>
    <w:rsid w:val="00494948"/>
    <w:rsid w:val="00494C83"/>
    <w:rsid w:val="00494D9C"/>
    <w:rsid w:val="00494FCD"/>
    <w:rsid w:val="004953E7"/>
    <w:rsid w:val="004956C5"/>
    <w:rsid w:val="00496090"/>
    <w:rsid w:val="00496962"/>
    <w:rsid w:val="00496B78"/>
    <w:rsid w:val="00497A37"/>
    <w:rsid w:val="004A01B0"/>
    <w:rsid w:val="004A03FF"/>
    <w:rsid w:val="004A08B9"/>
    <w:rsid w:val="004A11AD"/>
    <w:rsid w:val="004A22D0"/>
    <w:rsid w:val="004A24FD"/>
    <w:rsid w:val="004A2922"/>
    <w:rsid w:val="004A32F0"/>
    <w:rsid w:val="004A34A6"/>
    <w:rsid w:val="004A3C0E"/>
    <w:rsid w:val="004A3CF7"/>
    <w:rsid w:val="004A468E"/>
    <w:rsid w:val="004A4C39"/>
    <w:rsid w:val="004A4C3F"/>
    <w:rsid w:val="004A54F6"/>
    <w:rsid w:val="004A6B09"/>
    <w:rsid w:val="004A7BD3"/>
    <w:rsid w:val="004B01E7"/>
    <w:rsid w:val="004B051E"/>
    <w:rsid w:val="004B0AAB"/>
    <w:rsid w:val="004B1660"/>
    <w:rsid w:val="004B19EA"/>
    <w:rsid w:val="004B2418"/>
    <w:rsid w:val="004B40B4"/>
    <w:rsid w:val="004B43BF"/>
    <w:rsid w:val="004B4FF7"/>
    <w:rsid w:val="004B518E"/>
    <w:rsid w:val="004B53E5"/>
    <w:rsid w:val="004B7228"/>
    <w:rsid w:val="004B7818"/>
    <w:rsid w:val="004B788E"/>
    <w:rsid w:val="004B7E3B"/>
    <w:rsid w:val="004C07FE"/>
    <w:rsid w:val="004C2B33"/>
    <w:rsid w:val="004C2B40"/>
    <w:rsid w:val="004C337F"/>
    <w:rsid w:val="004C35D6"/>
    <w:rsid w:val="004C3623"/>
    <w:rsid w:val="004C4C76"/>
    <w:rsid w:val="004C55E8"/>
    <w:rsid w:val="004C6692"/>
    <w:rsid w:val="004C66A7"/>
    <w:rsid w:val="004C7297"/>
    <w:rsid w:val="004C7620"/>
    <w:rsid w:val="004C7D19"/>
    <w:rsid w:val="004C7ED9"/>
    <w:rsid w:val="004D067D"/>
    <w:rsid w:val="004D1B43"/>
    <w:rsid w:val="004D240A"/>
    <w:rsid w:val="004D31DF"/>
    <w:rsid w:val="004D37E9"/>
    <w:rsid w:val="004D380F"/>
    <w:rsid w:val="004D3D29"/>
    <w:rsid w:val="004D3D6A"/>
    <w:rsid w:val="004D5141"/>
    <w:rsid w:val="004D6213"/>
    <w:rsid w:val="004D626F"/>
    <w:rsid w:val="004D6428"/>
    <w:rsid w:val="004D64E6"/>
    <w:rsid w:val="004D76B9"/>
    <w:rsid w:val="004D7C27"/>
    <w:rsid w:val="004D7E3A"/>
    <w:rsid w:val="004E0C1A"/>
    <w:rsid w:val="004E0F5F"/>
    <w:rsid w:val="004E13DD"/>
    <w:rsid w:val="004E169F"/>
    <w:rsid w:val="004E1ADB"/>
    <w:rsid w:val="004E20F5"/>
    <w:rsid w:val="004E2FC5"/>
    <w:rsid w:val="004E3A76"/>
    <w:rsid w:val="004E3D4C"/>
    <w:rsid w:val="004E54B4"/>
    <w:rsid w:val="004E5AB5"/>
    <w:rsid w:val="004E6643"/>
    <w:rsid w:val="004E68F7"/>
    <w:rsid w:val="004F0CA0"/>
    <w:rsid w:val="004F285A"/>
    <w:rsid w:val="004F3343"/>
    <w:rsid w:val="004F4129"/>
    <w:rsid w:val="004F495B"/>
    <w:rsid w:val="004F4F1B"/>
    <w:rsid w:val="004F5121"/>
    <w:rsid w:val="004F5426"/>
    <w:rsid w:val="004F5C15"/>
    <w:rsid w:val="004F5E1C"/>
    <w:rsid w:val="004F6633"/>
    <w:rsid w:val="004F696D"/>
    <w:rsid w:val="004F6C83"/>
    <w:rsid w:val="004F778A"/>
    <w:rsid w:val="004F77E4"/>
    <w:rsid w:val="005005A0"/>
    <w:rsid w:val="00500D2B"/>
    <w:rsid w:val="0050126C"/>
    <w:rsid w:val="0050153C"/>
    <w:rsid w:val="00501D4D"/>
    <w:rsid w:val="005021B3"/>
    <w:rsid w:val="005027EE"/>
    <w:rsid w:val="00503DAF"/>
    <w:rsid w:val="005040CF"/>
    <w:rsid w:val="00504699"/>
    <w:rsid w:val="00504812"/>
    <w:rsid w:val="005048DA"/>
    <w:rsid w:val="00504E49"/>
    <w:rsid w:val="005053C5"/>
    <w:rsid w:val="005054DD"/>
    <w:rsid w:val="00507459"/>
    <w:rsid w:val="00507878"/>
    <w:rsid w:val="005100F2"/>
    <w:rsid w:val="005107EF"/>
    <w:rsid w:val="00511995"/>
    <w:rsid w:val="00511F71"/>
    <w:rsid w:val="0051211A"/>
    <w:rsid w:val="005123BE"/>
    <w:rsid w:val="00512839"/>
    <w:rsid w:val="00512FCA"/>
    <w:rsid w:val="005131FD"/>
    <w:rsid w:val="0051379A"/>
    <w:rsid w:val="00513895"/>
    <w:rsid w:val="00515150"/>
    <w:rsid w:val="005153B8"/>
    <w:rsid w:val="00515873"/>
    <w:rsid w:val="005161A4"/>
    <w:rsid w:val="0051760B"/>
    <w:rsid w:val="0051774E"/>
    <w:rsid w:val="005206C3"/>
    <w:rsid w:val="00520928"/>
    <w:rsid w:val="00520BDB"/>
    <w:rsid w:val="005219F1"/>
    <w:rsid w:val="005224C4"/>
    <w:rsid w:val="00522C6D"/>
    <w:rsid w:val="00524C83"/>
    <w:rsid w:val="005271BC"/>
    <w:rsid w:val="0052727A"/>
    <w:rsid w:val="00527858"/>
    <w:rsid w:val="005312EA"/>
    <w:rsid w:val="00531485"/>
    <w:rsid w:val="005315D8"/>
    <w:rsid w:val="005318AC"/>
    <w:rsid w:val="005319BD"/>
    <w:rsid w:val="00532B13"/>
    <w:rsid w:val="00532C41"/>
    <w:rsid w:val="005333A1"/>
    <w:rsid w:val="00533522"/>
    <w:rsid w:val="00534870"/>
    <w:rsid w:val="00534A57"/>
    <w:rsid w:val="00535685"/>
    <w:rsid w:val="0053715B"/>
    <w:rsid w:val="00537431"/>
    <w:rsid w:val="00537B6A"/>
    <w:rsid w:val="00537BC5"/>
    <w:rsid w:val="00540027"/>
    <w:rsid w:val="00540871"/>
    <w:rsid w:val="00540A1D"/>
    <w:rsid w:val="00541755"/>
    <w:rsid w:val="005427D7"/>
    <w:rsid w:val="00542860"/>
    <w:rsid w:val="00543CF5"/>
    <w:rsid w:val="005443C2"/>
    <w:rsid w:val="00544B7C"/>
    <w:rsid w:val="00546145"/>
    <w:rsid w:val="005464E9"/>
    <w:rsid w:val="005466D0"/>
    <w:rsid w:val="005467D3"/>
    <w:rsid w:val="005467FC"/>
    <w:rsid w:val="00546B0C"/>
    <w:rsid w:val="00547461"/>
    <w:rsid w:val="00547BA2"/>
    <w:rsid w:val="00550549"/>
    <w:rsid w:val="00550C98"/>
    <w:rsid w:val="005520E9"/>
    <w:rsid w:val="00552B77"/>
    <w:rsid w:val="0055413B"/>
    <w:rsid w:val="0055444D"/>
    <w:rsid w:val="00555E8D"/>
    <w:rsid w:val="005569AF"/>
    <w:rsid w:val="0056052F"/>
    <w:rsid w:val="005610B1"/>
    <w:rsid w:val="005611B5"/>
    <w:rsid w:val="00562913"/>
    <w:rsid w:val="00563BEB"/>
    <w:rsid w:val="00564D00"/>
    <w:rsid w:val="00565023"/>
    <w:rsid w:val="00565049"/>
    <w:rsid w:val="005652F3"/>
    <w:rsid w:val="0056603F"/>
    <w:rsid w:val="005675A9"/>
    <w:rsid w:val="00567871"/>
    <w:rsid w:val="00567C2B"/>
    <w:rsid w:val="00567ECD"/>
    <w:rsid w:val="0057018C"/>
    <w:rsid w:val="00570387"/>
    <w:rsid w:val="00570F94"/>
    <w:rsid w:val="00571EAC"/>
    <w:rsid w:val="00572B16"/>
    <w:rsid w:val="00572EEC"/>
    <w:rsid w:val="005734BD"/>
    <w:rsid w:val="0057366F"/>
    <w:rsid w:val="00573BDB"/>
    <w:rsid w:val="00573C8E"/>
    <w:rsid w:val="00573FA2"/>
    <w:rsid w:val="0057415D"/>
    <w:rsid w:val="00575EE2"/>
    <w:rsid w:val="0057656F"/>
    <w:rsid w:val="005769CA"/>
    <w:rsid w:val="005771C7"/>
    <w:rsid w:val="005771ED"/>
    <w:rsid w:val="00577659"/>
    <w:rsid w:val="00580202"/>
    <w:rsid w:val="00580738"/>
    <w:rsid w:val="005816DC"/>
    <w:rsid w:val="00581941"/>
    <w:rsid w:val="00583172"/>
    <w:rsid w:val="005834AC"/>
    <w:rsid w:val="0058514F"/>
    <w:rsid w:val="0058525E"/>
    <w:rsid w:val="0058591E"/>
    <w:rsid w:val="00585CE1"/>
    <w:rsid w:val="005867DF"/>
    <w:rsid w:val="005868B7"/>
    <w:rsid w:val="00587708"/>
    <w:rsid w:val="005909C1"/>
    <w:rsid w:val="00592991"/>
    <w:rsid w:val="005931F2"/>
    <w:rsid w:val="00593426"/>
    <w:rsid w:val="00593579"/>
    <w:rsid w:val="005935E4"/>
    <w:rsid w:val="00593ADA"/>
    <w:rsid w:val="00593F6C"/>
    <w:rsid w:val="00594164"/>
    <w:rsid w:val="00595062"/>
    <w:rsid w:val="005957CF"/>
    <w:rsid w:val="00595E43"/>
    <w:rsid w:val="00595EED"/>
    <w:rsid w:val="005964E1"/>
    <w:rsid w:val="00596595"/>
    <w:rsid w:val="00596613"/>
    <w:rsid w:val="005968C9"/>
    <w:rsid w:val="00597A78"/>
    <w:rsid w:val="005A0A1A"/>
    <w:rsid w:val="005A0CDE"/>
    <w:rsid w:val="005A148C"/>
    <w:rsid w:val="005A14D2"/>
    <w:rsid w:val="005A1560"/>
    <w:rsid w:val="005A164D"/>
    <w:rsid w:val="005A1C73"/>
    <w:rsid w:val="005A238A"/>
    <w:rsid w:val="005A2432"/>
    <w:rsid w:val="005A259F"/>
    <w:rsid w:val="005A270E"/>
    <w:rsid w:val="005A28AE"/>
    <w:rsid w:val="005A5335"/>
    <w:rsid w:val="005A5C04"/>
    <w:rsid w:val="005A6755"/>
    <w:rsid w:val="005B17EF"/>
    <w:rsid w:val="005B1931"/>
    <w:rsid w:val="005B2142"/>
    <w:rsid w:val="005B225F"/>
    <w:rsid w:val="005B2312"/>
    <w:rsid w:val="005B35C6"/>
    <w:rsid w:val="005B3EA6"/>
    <w:rsid w:val="005B3EE0"/>
    <w:rsid w:val="005B4CED"/>
    <w:rsid w:val="005B4E92"/>
    <w:rsid w:val="005B5923"/>
    <w:rsid w:val="005B6082"/>
    <w:rsid w:val="005B6526"/>
    <w:rsid w:val="005B65E2"/>
    <w:rsid w:val="005B6653"/>
    <w:rsid w:val="005C0DA1"/>
    <w:rsid w:val="005C1302"/>
    <w:rsid w:val="005C1DE9"/>
    <w:rsid w:val="005C2397"/>
    <w:rsid w:val="005C26DC"/>
    <w:rsid w:val="005C3D2F"/>
    <w:rsid w:val="005C412E"/>
    <w:rsid w:val="005C698D"/>
    <w:rsid w:val="005C7A64"/>
    <w:rsid w:val="005C7AD9"/>
    <w:rsid w:val="005C7B7E"/>
    <w:rsid w:val="005C7E2D"/>
    <w:rsid w:val="005D072E"/>
    <w:rsid w:val="005D0AA4"/>
    <w:rsid w:val="005D0EF6"/>
    <w:rsid w:val="005D1649"/>
    <w:rsid w:val="005D1751"/>
    <w:rsid w:val="005D1FA1"/>
    <w:rsid w:val="005D2164"/>
    <w:rsid w:val="005D2180"/>
    <w:rsid w:val="005D303F"/>
    <w:rsid w:val="005D48CA"/>
    <w:rsid w:val="005D4953"/>
    <w:rsid w:val="005D4DF0"/>
    <w:rsid w:val="005D5071"/>
    <w:rsid w:val="005D5B3A"/>
    <w:rsid w:val="005D5BC6"/>
    <w:rsid w:val="005D60F5"/>
    <w:rsid w:val="005D6507"/>
    <w:rsid w:val="005D65E4"/>
    <w:rsid w:val="005D68FD"/>
    <w:rsid w:val="005D69FA"/>
    <w:rsid w:val="005D777E"/>
    <w:rsid w:val="005E018C"/>
    <w:rsid w:val="005E01AC"/>
    <w:rsid w:val="005E055A"/>
    <w:rsid w:val="005E1356"/>
    <w:rsid w:val="005E1670"/>
    <w:rsid w:val="005E2159"/>
    <w:rsid w:val="005E22E8"/>
    <w:rsid w:val="005E2704"/>
    <w:rsid w:val="005E310E"/>
    <w:rsid w:val="005E3597"/>
    <w:rsid w:val="005E378B"/>
    <w:rsid w:val="005E486E"/>
    <w:rsid w:val="005E4A95"/>
    <w:rsid w:val="005E51F4"/>
    <w:rsid w:val="005E5242"/>
    <w:rsid w:val="005E53DD"/>
    <w:rsid w:val="005E5995"/>
    <w:rsid w:val="005E629B"/>
    <w:rsid w:val="005E746E"/>
    <w:rsid w:val="005E7497"/>
    <w:rsid w:val="005F11FA"/>
    <w:rsid w:val="005F268D"/>
    <w:rsid w:val="005F298D"/>
    <w:rsid w:val="005F33B1"/>
    <w:rsid w:val="005F3629"/>
    <w:rsid w:val="005F3C45"/>
    <w:rsid w:val="005F42B8"/>
    <w:rsid w:val="005F4463"/>
    <w:rsid w:val="005F5D4F"/>
    <w:rsid w:val="005F5F1A"/>
    <w:rsid w:val="005F65DA"/>
    <w:rsid w:val="005F6CAC"/>
    <w:rsid w:val="005F76E5"/>
    <w:rsid w:val="006001F0"/>
    <w:rsid w:val="00600579"/>
    <w:rsid w:val="00600928"/>
    <w:rsid w:val="00600B1C"/>
    <w:rsid w:val="00602326"/>
    <w:rsid w:val="00603C5E"/>
    <w:rsid w:val="00605F23"/>
    <w:rsid w:val="00606EB5"/>
    <w:rsid w:val="00607A95"/>
    <w:rsid w:val="00610C7C"/>
    <w:rsid w:val="00611FC2"/>
    <w:rsid w:val="0061262F"/>
    <w:rsid w:val="00612E82"/>
    <w:rsid w:val="00613345"/>
    <w:rsid w:val="006141FF"/>
    <w:rsid w:val="00614C89"/>
    <w:rsid w:val="00614E09"/>
    <w:rsid w:val="00615B14"/>
    <w:rsid w:val="00615E51"/>
    <w:rsid w:val="00617498"/>
    <w:rsid w:val="00621781"/>
    <w:rsid w:val="006227D8"/>
    <w:rsid w:val="00622BDA"/>
    <w:rsid w:val="0062411E"/>
    <w:rsid w:val="006242DE"/>
    <w:rsid w:val="00624A69"/>
    <w:rsid w:val="00625491"/>
    <w:rsid w:val="00625C4A"/>
    <w:rsid w:val="00626D00"/>
    <w:rsid w:val="0062761B"/>
    <w:rsid w:val="00630421"/>
    <w:rsid w:val="00630B2E"/>
    <w:rsid w:val="00630B9E"/>
    <w:rsid w:val="00631CD4"/>
    <w:rsid w:val="00632CF9"/>
    <w:rsid w:val="00633D0C"/>
    <w:rsid w:val="00634119"/>
    <w:rsid w:val="006341F6"/>
    <w:rsid w:val="00634E8B"/>
    <w:rsid w:val="00635365"/>
    <w:rsid w:val="00636642"/>
    <w:rsid w:val="00636986"/>
    <w:rsid w:val="00636BE5"/>
    <w:rsid w:val="00637D28"/>
    <w:rsid w:val="00642BE6"/>
    <w:rsid w:val="006431C6"/>
    <w:rsid w:val="006442CA"/>
    <w:rsid w:val="0064452C"/>
    <w:rsid w:val="00644F3A"/>
    <w:rsid w:val="00645192"/>
    <w:rsid w:val="0064557F"/>
    <w:rsid w:val="00645605"/>
    <w:rsid w:val="00645613"/>
    <w:rsid w:val="00645677"/>
    <w:rsid w:val="00645CDF"/>
    <w:rsid w:val="0064679C"/>
    <w:rsid w:val="006472A3"/>
    <w:rsid w:val="00647363"/>
    <w:rsid w:val="006475C8"/>
    <w:rsid w:val="00647ECB"/>
    <w:rsid w:val="00650914"/>
    <w:rsid w:val="00650B23"/>
    <w:rsid w:val="0065112F"/>
    <w:rsid w:val="00651528"/>
    <w:rsid w:val="0065196C"/>
    <w:rsid w:val="006525B2"/>
    <w:rsid w:val="006526DD"/>
    <w:rsid w:val="00652E1D"/>
    <w:rsid w:val="006530DE"/>
    <w:rsid w:val="00653165"/>
    <w:rsid w:val="00653B4D"/>
    <w:rsid w:val="006542DA"/>
    <w:rsid w:val="0065440D"/>
    <w:rsid w:val="006544EF"/>
    <w:rsid w:val="00654554"/>
    <w:rsid w:val="006548D3"/>
    <w:rsid w:val="00655E78"/>
    <w:rsid w:val="00655F33"/>
    <w:rsid w:val="00656862"/>
    <w:rsid w:val="00656FC2"/>
    <w:rsid w:val="006572F7"/>
    <w:rsid w:val="00657728"/>
    <w:rsid w:val="00657F9C"/>
    <w:rsid w:val="00660830"/>
    <w:rsid w:val="00660D1E"/>
    <w:rsid w:val="00660EDE"/>
    <w:rsid w:val="00660F12"/>
    <w:rsid w:val="006610CC"/>
    <w:rsid w:val="0066126B"/>
    <w:rsid w:val="00661D63"/>
    <w:rsid w:val="00662D85"/>
    <w:rsid w:val="00663AB0"/>
    <w:rsid w:val="0066496F"/>
    <w:rsid w:val="00664B8F"/>
    <w:rsid w:val="006650AB"/>
    <w:rsid w:val="006653C6"/>
    <w:rsid w:val="00665A9B"/>
    <w:rsid w:val="00665B52"/>
    <w:rsid w:val="00665D51"/>
    <w:rsid w:val="00666ACC"/>
    <w:rsid w:val="00667009"/>
    <w:rsid w:val="00667060"/>
    <w:rsid w:val="0066764F"/>
    <w:rsid w:val="00667969"/>
    <w:rsid w:val="006703AD"/>
    <w:rsid w:val="0067068D"/>
    <w:rsid w:val="00671088"/>
    <w:rsid w:val="006717AF"/>
    <w:rsid w:val="00671932"/>
    <w:rsid w:val="006726FD"/>
    <w:rsid w:val="00672DC7"/>
    <w:rsid w:val="00672E7E"/>
    <w:rsid w:val="0067351C"/>
    <w:rsid w:val="0067351D"/>
    <w:rsid w:val="0067484E"/>
    <w:rsid w:val="006755FB"/>
    <w:rsid w:val="006758C1"/>
    <w:rsid w:val="006766DC"/>
    <w:rsid w:val="00677124"/>
    <w:rsid w:val="006778AB"/>
    <w:rsid w:val="00677ED1"/>
    <w:rsid w:val="00680626"/>
    <w:rsid w:val="006822BF"/>
    <w:rsid w:val="0068285A"/>
    <w:rsid w:val="0068352F"/>
    <w:rsid w:val="006835DB"/>
    <w:rsid w:val="00684DBB"/>
    <w:rsid w:val="00684E6E"/>
    <w:rsid w:val="00684EC7"/>
    <w:rsid w:val="00685807"/>
    <w:rsid w:val="00686D3A"/>
    <w:rsid w:val="00686F3A"/>
    <w:rsid w:val="00687255"/>
    <w:rsid w:val="00691FB4"/>
    <w:rsid w:val="00692D25"/>
    <w:rsid w:val="00693486"/>
    <w:rsid w:val="0069368E"/>
    <w:rsid w:val="0069372B"/>
    <w:rsid w:val="00693837"/>
    <w:rsid w:val="00693C1A"/>
    <w:rsid w:val="00694602"/>
    <w:rsid w:val="00695029"/>
    <w:rsid w:val="00695EFA"/>
    <w:rsid w:val="00696C27"/>
    <w:rsid w:val="0069783F"/>
    <w:rsid w:val="006A041A"/>
    <w:rsid w:val="006A081F"/>
    <w:rsid w:val="006A0B8A"/>
    <w:rsid w:val="006A0E2F"/>
    <w:rsid w:val="006A2053"/>
    <w:rsid w:val="006A25DF"/>
    <w:rsid w:val="006A2650"/>
    <w:rsid w:val="006A2880"/>
    <w:rsid w:val="006A3519"/>
    <w:rsid w:val="006A42A1"/>
    <w:rsid w:val="006A49F8"/>
    <w:rsid w:val="006A5F1F"/>
    <w:rsid w:val="006A6C1F"/>
    <w:rsid w:val="006A7344"/>
    <w:rsid w:val="006A7B9D"/>
    <w:rsid w:val="006A7E66"/>
    <w:rsid w:val="006A7E7E"/>
    <w:rsid w:val="006B0429"/>
    <w:rsid w:val="006B0E40"/>
    <w:rsid w:val="006B1372"/>
    <w:rsid w:val="006B1877"/>
    <w:rsid w:val="006B1A1A"/>
    <w:rsid w:val="006B2263"/>
    <w:rsid w:val="006B22D5"/>
    <w:rsid w:val="006B26CE"/>
    <w:rsid w:val="006B2A1E"/>
    <w:rsid w:val="006B2CAC"/>
    <w:rsid w:val="006B37BE"/>
    <w:rsid w:val="006B4833"/>
    <w:rsid w:val="006B4CC0"/>
    <w:rsid w:val="006B5DC3"/>
    <w:rsid w:val="006B6D75"/>
    <w:rsid w:val="006B6E9D"/>
    <w:rsid w:val="006B79BF"/>
    <w:rsid w:val="006B7E59"/>
    <w:rsid w:val="006C087B"/>
    <w:rsid w:val="006C1723"/>
    <w:rsid w:val="006C2A17"/>
    <w:rsid w:val="006C2C8C"/>
    <w:rsid w:val="006C3F3C"/>
    <w:rsid w:val="006C45C4"/>
    <w:rsid w:val="006C4601"/>
    <w:rsid w:val="006C4AD8"/>
    <w:rsid w:val="006C506E"/>
    <w:rsid w:val="006C5694"/>
    <w:rsid w:val="006C5CF5"/>
    <w:rsid w:val="006C6612"/>
    <w:rsid w:val="006C7075"/>
    <w:rsid w:val="006C7D31"/>
    <w:rsid w:val="006D01DA"/>
    <w:rsid w:val="006D0A91"/>
    <w:rsid w:val="006D0F02"/>
    <w:rsid w:val="006D2025"/>
    <w:rsid w:val="006D2A19"/>
    <w:rsid w:val="006D2A8A"/>
    <w:rsid w:val="006D5839"/>
    <w:rsid w:val="006D59C4"/>
    <w:rsid w:val="006D5A38"/>
    <w:rsid w:val="006D5D67"/>
    <w:rsid w:val="006D60E7"/>
    <w:rsid w:val="006D7033"/>
    <w:rsid w:val="006D7248"/>
    <w:rsid w:val="006D732D"/>
    <w:rsid w:val="006D7EE3"/>
    <w:rsid w:val="006D7F83"/>
    <w:rsid w:val="006E1FD5"/>
    <w:rsid w:val="006E20C4"/>
    <w:rsid w:val="006E2422"/>
    <w:rsid w:val="006E29E0"/>
    <w:rsid w:val="006E2E07"/>
    <w:rsid w:val="006E2F6F"/>
    <w:rsid w:val="006E3A2F"/>
    <w:rsid w:val="006E3ED4"/>
    <w:rsid w:val="006E56FC"/>
    <w:rsid w:val="006E5990"/>
    <w:rsid w:val="006E76CE"/>
    <w:rsid w:val="006E7E3C"/>
    <w:rsid w:val="006E7EA9"/>
    <w:rsid w:val="006F05C7"/>
    <w:rsid w:val="006F10E4"/>
    <w:rsid w:val="006F18AD"/>
    <w:rsid w:val="006F27C2"/>
    <w:rsid w:val="006F338D"/>
    <w:rsid w:val="006F3659"/>
    <w:rsid w:val="006F3AD0"/>
    <w:rsid w:val="006F582C"/>
    <w:rsid w:val="006F5A88"/>
    <w:rsid w:val="006F6400"/>
    <w:rsid w:val="006F6586"/>
    <w:rsid w:val="006F7D01"/>
    <w:rsid w:val="00700BBD"/>
    <w:rsid w:val="00700C34"/>
    <w:rsid w:val="0070236C"/>
    <w:rsid w:val="00702E53"/>
    <w:rsid w:val="00703572"/>
    <w:rsid w:val="0070371D"/>
    <w:rsid w:val="0070398A"/>
    <w:rsid w:val="00703A01"/>
    <w:rsid w:val="00703E24"/>
    <w:rsid w:val="0070586A"/>
    <w:rsid w:val="007069FE"/>
    <w:rsid w:val="00707D22"/>
    <w:rsid w:val="0071120F"/>
    <w:rsid w:val="00711C28"/>
    <w:rsid w:val="00711EAD"/>
    <w:rsid w:val="007123B8"/>
    <w:rsid w:val="00712AD9"/>
    <w:rsid w:val="0071328F"/>
    <w:rsid w:val="00714675"/>
    <w:rsid w:val="007146D1"/>
    <w:rsid w:val="00715A6A"/>
    <w:rsid w:val="00715BD2"/>
    <w:rsid w:val="00720252"/>
    <w:rsid w:val="00720AF1"/>
    <w:rsid w:val="007215C8"/>
    <w:rsid w:val="0072219F"/>
    <w:rsid w:val="007223AC"/>
    <w:rsid w:val="007226E7"/>
    <w:rsid w:val="00724083"/>
    <w:rsid w:val="0072425B"/>
    <w:rsid w:val="0072512E"/>
    <w:rsid w:val="0072536F"/>
    <w:rsid w:val="007255A5"/>
    <w:rsid w:val="00725605"/>
    <w:rsid w:val="007256C0"/>
    <w:rsid w:val="007260B0"/>
    <w:rsid w:val="00726431"/>
    <w:rsid w:val="00726DD0"/>
    <w:rsid w:val="00727410"/>
    <w:rsid w:val="00730496"/>
    <w:rsid w:val="00730C6D"/>
    <w:rsid w:val="0073125E"/>
    <w:rsid w:val="0073187C"/>
    <w:rsid w:val="00731D58"/>
    <w:rsid w:val="00734FAB"/>
    <w:rsid w:val="0073503F"/>
    <w:rsid w:val="007353E9"/>
    <w:rsid w:val="00735788"/>
    <w:rsid w:val="00735B80"/>
    <w:rsid w:val="00736C3E"/>
    <w:rsid w:val="00736C82"/>
    <w:rsid w:val="00737477"/>
    <w:rsid w:val="00737505"/>
    <w:rsid w:val="00737718"/>
    <w:rsid w:val="00737E9D"/>
    <w:rsid w:val="0074002D"/>
    <w:rsid w:val="00740784"/>
    <w:rsid w:val="007414D7"/>
    <w:rsid w:val="00741C24"/>
    <w:rsid w:val="00742673"/>
    <w:rsid w:val="0074310F"/>
    <w:rsid w:val="007433AD"/>
    <w:rsid w:val="007435C3"/>
    <w:rsid w:val="007436F0"/>
    <w:rsid w:val="00746C78"/>
    <w:rsid w:val="00746FB0"/>
    <w:rsid w:val="007471FF"/>
    <w:rsid w:val="00747272"/>
    <w:rsid w:val="007474E8"/>
    <w:rsid w:val="00747FD6"/>
    <w:rsid w:val="007502C5"/>
    <w:rsid w:val="00751D39"/>
    <w:rsid w:val="00752273"/>
    <w:rsid w:val="0075253A"/>
    <w:rsid w:val="0075385C"/>
    <w:rsid w:val="00754B7A"/>
    <w:rsid w:val="00754CAC"/>
    <w:rsid w:val="00755273"/>
    <w:rsid w:val="00755EF5"/>
    <w:rsid w:val="00755F15"/>
    <w:rsid w:val="00756DBD"/>
    <w:rsid w:val="007577AB"/>
    <w:rsid w:val="007606B9"/>
    <w:rsid w:val="007607FD"/>
    <w:rsid w:val="00761555"/>
    <w:rsid w:val="0076244B"/>
    <w:rsid w:val="00762F9D"/>
    <w:rsid w:val="0076437C"/>
    <w:rsid w:val="007648F7"/>
    <w:rsid w:val="00764EC3"/>
    <w:rsid w:val="007657A4"/>
    <w:rsid w:val="007658BA"/>
    <w:rsid w:val="007660C0"/>
    <w:rsid w:val="00766147"/>
    <w:rsid w:val="00766A61"/>
    <w:rsid w:val="00766E7C"/>
    <w:rsid w:val="00766F39"/>
    <w:rsid w:val="00767144"/>
    <w:rsid w:val="007677E8"/>
    <w:rsid w:val="0076792A"/>
    <w:rsid w:val="00767D7A"/>
    <w:rsid w:val="00770050"/>
    <w:rsid w:val="00771CBE"/>
    <w:rsid w:val="00771F80"/>
    <w:rsid w:val="00772050"/>
    <w:rsid w:val="00772670"/>
    <w:rsid w:val="007727CC"/>
    <w:rsid w:val="00772925"/>
    <w:rsid w:val="00773009"/>
    <w:rsid w:val="007732BA"/>
    <w:rsid w:val="007736E0"/>
    <w:rsid w:val="00774DEE"/>
    <w:rsid w:val="00775043"/>
    <w:rsid w:val="007751C6"/>
    <w:rsid w:val="0077555D"/>
    <w:rsid w:val="007768FB"/>
    <w:rsid w:val="007769E3"/>
    <w:rsid w:val="00776BC3"/>
    <w:rsid w:val="007772F0"/>
    <w:rsid w:val="00777D8E"/>
    <w:rsid w:val="007808CC"/>
    <w:rsid w:val="00780B62"/>
    <w:rsid w:val="00780D9F"/>
    <w:rsid w:val="00781209"/>
    <w:rsid w:val="0078437D"/>
    <w:rsid w:val="007860C6"/>
    <w:rsid w:val="00786B08"/>
    <w:rsid w:val="0078747A"/>
    <w:rsid w:val="00787700"/>
    <w:rsid w:val="0079060B"/>
    <w:rsid w:val="0079071F"/>
    <w:rsid w:val="00791A17"/>
    <w:rsid w:val="00791B0A"/>
    <w:rsid w:val="00792CF8"/>
    <w:rsid w:val="00792F69"/>
    <w:rsid w:val="007932A8"/>
    <w:rsid w:val="007936E6"/>
    <w:rsid w:val="00793BC9"/>
    <w:rsid w:val="00793D48"/>
    <w:rsid w:val="007947B0"/>
    <w:rsid w:val="00794B0B"/>
    <w:rsid w:val="00794C8A"/>
    <w:rsid w:val="007958A7"/>
    <w:rsid w:val="00795C8B"/>
    <w:rsid w:val="0079642A"/>
    <w:rsid w:val="0079682E"/>
    <w:rsid w:val="00796931"/>
    <w:rsid w:val="007970D3"/>
    <w:rsid w:val="007A0D39"/>
    <w:rsid w:val="007A10A3"/>
    <w:rsid w:val="007A112E"/>
    <w:rsid w:val="007A15FE"/>
    <w:rsid w:val="007A18BB"/>
    <w:rsid w:val="007A1927"/>
    <w:rsid w:val="007A1D89"/>
    <w:rsid w:val="007A29D5"/>
    <w:rsid w:val="007A3473"/>
    <w:rsid w:val="007A3DA3"/>
    <w:rsid w:val="007A48B5"/>
    <w:rsid w:val="007A4C46"/>
    <w:rsid w:val="007A4DFA"/>
    <w:rsid w:val="007A5D16"/>
    <w:rsid w:val="007A6C0A"/>
    <w:rsid w:val="007A7A5C"/>
    <w:rsid w:val="007A7B0C"/>
    <w:rsid w:val="007A7F7F"/>
    <w:rsid w:val="007B0C47"/>
    <w:rsid w:val="007B0C92"/>
    <w:rsid w:val="007B15F9"/>
    <w:rsid w:val="007B168D"/>
    <w:rsid w:val="007B1E72"/>
    <w:rsid w:val="007B2225"/>
    <w:rsid w:val="007B31BF"/>
    <w:rsid w:val="007B3856"/>
    <w:rsid w:val="007B3A53"/>
    <w:rsid w:val="007B3D21"/>
    <w:rsid w:val="007B3DB3"/>
    <w:rsid w:val="007B4CB5"/>
    <w:rsid w:val="007B5BEA"/>
    <w:rsid w:val="007B62A0"/>
    <w:rsid w:val="007B7F96"/>
    <w:rsid w:val="007C0EE3"/>
    <w:rsid w:val="007C151D"/>
    <w:rsid w:val="007C1C43"/>
    <w:rsid w:val="007C328F"/>
    <w:rsid w:val="007C418A"/>
    <w:rsid w:val="007C507E"/>
    <w:rsid w:val="007C5512"/>
    <w:rsid w:val="007C58E3"/>
    <w:rsid w:val="007C6478"/>
    <w:rsid w:val="007C666E"/>
    <w:rsid w:val="007C6977"/>
    <w:rsid w:val="007C6E99"/>
    <w:rsid w:val="007C7274"/>
    <w:rsid w:val="007C7988"/>
    <w:rsid w:val="007C7A72"/>
    <w:rsid w:val="007D13CF"/>
    <w:rsid w:val="007D14FE"/>
    <w:rsid w:val="007D1D98"/>
    <w:rsid w:val="007D1DBA"/>
    <w:rsid w:val="007D3D93"/>
    <w:rsid w:val="007D5301"/>
    <w:rsid w:val="007D6354"/>
    <w:rsid w:val="007D66B9"/>
    <w:rsid w:val="007D684A"/>
    <w:rsid w:val="007D69A1"/>
    <w:rsid w:val="007D6BE8"/>
    <w:rsid w:val="007D79CB"/>
    <w:rsid w:val="007E0DB3"/>
    <w:rsid w:val="007E1684"/>
    <w:rsid w:val="007E1AEB"/>
    <w:rsid w:val="007E28BE"/>
    <w:rsid w:val="007E2C03"/>
    <w:rsid w:val="007E2E24"/>
    <w:rsid w:val="007E2EA2"/>
    <w:rsid w:val="007E3BA8"/>
    <w:rsid w:val="007E40DF"/>
    <w:rsid w:val="007E52D4"/>
    <w:rsid w:val="007E5BB7"/>
    <w:rsid w:val="007E5CCB"/>
    <w:rsid w:val="007E5E24"/>
    <w:rsid w:val="007E6521"/>
    <w:rsid w:val="007E673F"/>
    <w:rsid w:val="007E71A2"/>
    <w:rsid w:val="007E72B1"/>
    <w:rsid w:val="007E791A"/>
    <w:rsid w:val="007F0338"/>
    <w:rsid w:val="007F0390"/>
    <w:rsid w:val="007F0468"/>
    <w:rsid w:val="007F0CEE"/>
    <w:rsid w:val="007F1264"/>
    <w:rsid w:val="007F181E"/>
    <w:rsid w:val="007F1DFE"/>
    <w:rsid w:val="007F20EA"/>
    <w:rsid w:val="007F291E"/>
    <w:rsid w:val="007F2E3B"/>
    <w:rsid w:val="007F512D"/>
    <w:rsid w:val="007F59A2"/>
    <w:rsid w:val="008017AE"/>
    <w:rsid w:val="00803066"/>
    <w:rsid w:val="0080472C"/>
    <w:rsid w:val="0080486A"/>
    <w:rsid w:val="008048D7"/>
    <w:rsid w:val="008053D0"/>
    <w:rsid w:val="008057A6"/>
    <w:rsid w:val="00805A86"/>
    <w:rsid w:val="008062C4"/>
    <w:rsid w:val="00806528"/>
    <w:rsid w:val="008065C6"/>
    <w:rsid w:val="008070BC"/>
    <w:rsid w:val="00807716"/>
    <w:rsid w:val="008077D0"/>
    <w:rsid w:val="00807F6A"/>
    <w:rsid w:val="0081004E"/>
    <w:rsid w:val="0081029A"/>
    <w:rsid w:val="00810B17"/>
    <w:rsid w:val="00811321"/>
    <w:rsid w:val="00811AC0"/>
    <w:rsid w:val="008123DA"/>
    <w:rsid w:val="00813070"/>
    <w:rsid w:val="00813429"/>
    <w:rsid w:val="0081398A"/>
    <w:rsid w:val="00813E4E"/>
    <w:rsid w:val="00813F48"/>
    <w:rsid w:val="00814FE9"/>
    <w:rsid w:val="008151B6"/>
    <w:rsid w:val="00815284"/>
    <w:rsid w:val="00815915"/>
    <w:rsid w:val="00815ABF"/>
    <w:rsid w:val="008168CE"/>
    <w:rsid w:val="00816E9D"/>
    <w:rsid w:val="0081771C"/>
    <w:rsid w:val="0082002A"/>
    <w:rsid w:val="008210C2"/>
    <w:rsid w:val="0082124B"/>
    <w:rsid w:val="00821A21"/>
    <w:rsid w:val="00822C46"/>
    <w:rsid w:val="00824286"/>
    <w:rsid w:val="0082449C"/>
    <w:rsid w:val="008244EE"/>
    <w:rsid w:val="00824E86"/>
    <w:rsid w:val="00824F62"/>
    <w:rsid w:val="008263B1"/>
    <w:rsid w:val="008268D6"/>
    <w:rsid w:val="00826CBB"/>
    <w:rsid w:val="008278C8"/>
    <w:rsid w:val="00827C2F"/>
    <w:rsid w:val="00827D45"/>
    <w:rsid w:val="0083024B"/>
    <w:rsid w:val="008307CC"/>
    <w:rsid w:val="008319FD"/>
    <w:rsid w:val="00831D6A"/>
    <w:rsid w:val="008339F5"/>
    <w:rsid w:val="008371C2"/>
    <w:rsid w:val="008379DF"/>
    <w:rsid w:val="00837BAF"/>
    <w:rsid w:val="00837E5D"/>
    <w:rsid w:val="00837ECC"/>
    <w:rsid w:val="00840573"/>
    <w:rsid w:val="00840F3A"/>
    <w:rsid w:val="008417B4"/>
    <w:rsid w:val="00843D30"/>
    <w:rsid w:val="00844168"/>
    <w:rsid w:val="00844370"/>
    <w:rsid w:val="008452DD"/>
    <w:rsid w:val="008464C8"/>
    <w:rsid w:val="00847575"/>
    <w:rsid w:val="00847C01"/>
    <w:rsid w:val="0085029E"/>
    <w:rsid w:val="00851310"/>
    <w:rsid w:val="00851FB2"/>
    <w:rsid w:val="00852044"/>
    <w:rsid w:val="00853FCB"/>
    <w:rsid w:val="008544AA"/>
    <w:rsid w:val="00854B44"/>
    <w:rsid w:val="0085513C"/>
    <w:rsid w:val="0085518B"/>
    <w:rsid w:val="0085668D"/>
    <w:rsid w:val="00856D02"/>
    <w:rsid w:val="00857446"/>
    <w:rsid w:val="0085769A"/>
    <w:rsid w:val="00860A51"/>
    <w:rsid w:val="008616A4"/>
    <w:rsid w:val="00862E7A"/>
    <w:rsid w:val="00863582"/>
    <w:rsid w:val="00863A59"/>
    <w:rsid w:val="00863B6A"/>
    <w:rsid w:val="00863C58"/>
    <w:rsid w:val="00863CC6"/>
    <w:rsid w:val="00864609"/>
    <w:rsid w:val="0086464F"/>
    <w:rsid w:val="00864AD1"/>
    <w:rsid w:val="00864BF0"/>
    <w:rsid w:val="00865DA9"/>
    <w:rsid w:val="00867EBD"/>
    <w:rsid w:val="00870B1C"/>
    <w:rsid w:val="008712DF"/>
    <w:rsid w:val="00871E44"/>
    <w:rsid w:val="00872B04"/>
    <w:rsid w:val="008730EE"/>
    <w:rsid w:val="008741F8"/>
    <w:rsid w:val="00874458"/>
    <w:rsid w:val="008749FC"/>
    <w:rsid w:val="00874EBA"/>
    <w:rsid w:val="00875373"/>
    <w:rsid w:val="008762B5"/>
    <w:rsid w:val="00877126"/>
    <w:rsid w:val="00877CF6"/>
    <w:rsid w:val="0088026F"/>
    <w:rsid w:val="0088092A"/>
    <w:rsid w:val="00880B66"/>
    <w:rsid w:val="0088190A"/>
    <w:rsid w:val="0088193C"/>
    <w:rsid w:val="00881EA6"/>
    <w:rsid w:val="008821BF"/>
    <w:rsid w:val="00882E8F"/>
    <w:rsid w:val="008831DD"/>
    <w:rsid w:val="00883D01"/>
    <w:rsid w:val="00884960"/>
    <w:rsid w:val="00885231"/>
    <w:rsid w:val="00885A04"/>
    <w:rsid w:val="00885F6A"/>
    <w:rsid w:val="008866AF"/>
    <w:rsid w:val="00886A1C"/>
    <w:rsid w:val="00886A60"/>
    <w:rsid w:val="00886B14"/>
    <w:rsid w:val="008902AE"/>
    <w:rsid w:val="00890BA1"/>
    <w:rsid w:val="00890EAD"/>
    <w:rsid w:val="0089137A"/>
    <w:rsid w:val="00891627"/>
    <w:rsid w:val="00892D33"/>
    <w:rsid w:val="00893858"/>
    <w:rsid w:val="00894AB7"/>
    <w:rsid w:val="00894B3C"/>
    <w:rsid w:val="008951EF"/>
    <w:rsid w:val="0089544A"/>
    <w:rsid w:val="00895AE0"/>
    <w:rsid w:val="008979C5"/>
    <w:rsid w:val="00897DB4"/>
    <w:rsid w:val="00897FB9"/>
    <w:rsid w:val="008A04B5"/>
    <w:rsid w:val="008A08BF"/>
    <w:rsid w:val="008A0DCD"/>
    <w:rsid w:val="008A10D4"/>
    <w:rsid w:val="008A1FA3"/>
    <w:rsid w:val="008A297E"/>
    <w:rsid w:val="008A3503"/>
    <w:rsid w:val="008A35B0"/>
    <w:rsid w:val="008A4103"/>
    <w:rsid w:val="008A4311"/>
    <w:rsid w:val="008A43B3"/>
    <w:rsid w:val="008A4FD2"/>
    <w:rsid w:val="008A566B"/>
    <w:rsid w:val="008A7034"/>
    <w:rsid w:val="008B00ED"/>
    <w:rsid w:val="008B0531"/>
    <w:rsid w:val="008B07FD"/>
    <w:rsid w:val="008B2080"/>
    <w:rsid w:val="008B2A93"/>
    <w:rsid w:val="008B2A9B"/>
    <w:rsid w:val="008B30DB"/>
    <w:rsid w:val="008B4AAA"/>
    <w:rsid w:val="008B4DC6"/>
    <w:rsid w:val="008B4E02"/>
    <w:rsid w:val="008B5048"/>
    <w:rsid w:val="008B54B6"/>
    <w:rsid w:val="008B5BA5"/>
    <w:rsid w:val="008B62D3"/>
    <w:rsid w:val="008B62FC"/>
    <w:rsid w:val="008B6462"/>
    <w:rsid w:val="008B6BF6"/>
    <w:rsid w:val="008B711E"/>
    <w:rsid w:val="008B71FF"/>
    <w:rsid w:val="008C025D"/>
    <w:rsid w:val="008C0789"/>
    <w:rsid w:val="008C09AD"/>
    <w:rsid w:val="008C1441"/>
    <w:rsid w:val="008C187A"/>
    <w:rsid w:val="008C18DF"/>
    <w:rsid w:val="008C1DA6"/>
    <w:rsid w:val="008C2456"/>
    <w:rsid w:val="008C2BFB"/>
    <w:rsid w:val="008C35F9"/>
    <w:rsid w:val="008C543B"/>
    <w:rsid w:val="008C5706"/>
    <w:rsid w:val="008C5980"/>
    <w:rsid w:val="008C60DF"/>
    <w:rsid w:val="008C7C4D"/>
    <w:rsid w:val="008D0B1B"/>
    <w:rsid w:val="008D18E4"/>
    <w:rsid w:val="008D1DB3"/>
    <w:rsid w:val="008D250C"/>
    <w:rsid w:val="008D393E"/>
    <w:rsid w:val="008D67D6"/>
    <w:rsid w:val="008D707A"/>
    <w:rsid w:val="008D72D4"/>
    <w:rsid w:val="008D78AC"/>
    <w:rsid w:val="008E0FEE"/>
    <w:rsid w:val="008E2160"/>
    <w:rsid w:val="008E3882"/>
    <w:rsid w:val="008E3B85"/>
    <w:rsid w:val="008E4183"/>
    <w:rsid w:val="008E4D9E"/>
    <w:rsid w:val="008E5B26"/>
    <w:rsid w:val="008E6477"/>
    <w:rsid w:val="008E6B11"/>
    <w:rsid w:val="008E6C4C"/>
    <w:rsid w:val="008E7582"/>
    <w:rsid w:val="008F0A50"/>
    <w:rsid w:val="008F115E"/>
    <w:rsid w:val="008F2075"/>
    <w:rsid w:val="008F24A9"/>
    <w:rsid w:val="008F29AD"/>
    <w:rsid w:val="008F3217"/>
    <w:rsid w:val="008F3234"/>
    <w:rsid w:val="008F336C"/>
    <w:rsid w:val="008F3D2C"/>
    <w:rsid w:val="008F3E45"/>
    <w:rsid w:val="008F46AF"/>
    <w:rsid w:val="008F480F"/>
    <w:rsid w:val="008F53DC"/>
    <w:rsid w:val="008F5B11"/>
    <w:rsid w:val="008F5EFC"/>
    <w:rsid w:val="008F6CFF"/>
    <w:rsid w:val="008F703E"/>
    <w:rsid w:val="00900043"/>
    <w:rsid w:val="009003A6"/>
    <w:rsid w:val="00900B2E"/>
    <w:rsid w:val="00900BE7"/>
    <w:rsid w:val="00901073"/>
    <w:rsid w:val="00902211"/>
    <w:rsid w:val="0090243F"/>
    <w:rsid w:val="00902598"/>
    <w:rsid w:val="00902736"/>
    <w:rsid w:val="00902EF2"/>
    <w:rsid w:val="00903BD2"/>
    <w:rsid w:val="00903DC2"/>
    <w:rsid w:val="00905904"/>
    <w:rsid w:val="00906163"/>
    <w:rsid w:val="00906F61"/>
    <w:rsid w:val="009078DD"/>
    <w:rsid w:val="009107F6"/>
    <w:rsid w:val="00911EBA"/>
    <w:rsid w:val="00912A1C"/>
    <w:rsid w:val="00913817"/>
    <w:rsid w:val="009155CF"/>
    <w:rsid w:val="009166B4"/>
    <w:rsid w:val="00916811"/>
    <w:rsid w:val="00916BBD"/>
    <w:rsid w:val="00916BE7"/>
    <w:rsid w:val="00916C99"/>
    <w:rsid w:val="00916FB1"/>
    <w:rsid w:val="009178FE"/>
    <w:rsid w:val="00920E5F"/>
    <w:rsid w:val="00920E75"/>
    <w:rsid w:val="00920FDD"/>
    <w:rsid w:val="00921667"/>
    <w:rsid w:val="00921CC9"/>
    <w:rsid w:val="009221AE"/>
    <w:rsid w:val="009222B8"/>
    <w:rsid w:val="00922B92"/>
    <w:rsid w:val="00923209"/>
    <w:rsid w:val="00923516"/>
    <w:rsid w:val="00923838"/>
    <w:rsid w:val="00923A11"/>
    <w:rsid w:val="009241D9"/>
    <w:rsid w:val="0092469D"/>
    <w:rsid w:val="00924EDD"/>
    <w:rsid w:val="00924EF9"/>
    <w:rsid w:val="00924FC8"/>
    <w:rsid w:val="00925BC5"/>
    <w:rsid w:val="00927230"/>
    <w:rsid w:val="00927313"/>
    <w:rsid w:val="00927430"/>
    <w:rsid w:val="00927869"/>
    <w:rsid w:val="009303FD"/>
    <w:rsid w:val="009312BD"/>
    <w:rsid w:val="00931CBD"/>
    <w:rsid w:val="009328E4"/>
    <w:rsid w:val="00932C9B"/>
    <w:rsid w:val="009331D7"/>
    <w:rsid w:val="0093400D"/>
    <w:rsid w:val="009340F6"/>
    <w:rsid w:val="00934379"/>
    <w:rsid w:val="009347C4"/>
    <w:rsid w:val="0093480E"/>
    <w:rsid w:val="009349D9"/>
    <w:rsid w:val="009355B5"/>
    <w:rsid w:val="009363B4"/>
    <w:rsid w:val="00936B97"/>
    <w:rsid w:val="00937AB2"/>
    <w:rsid w:val="00940348"/>
    <w:rsid w:val="00941B5A"/>
    <w:rsid w:val="00942398"/>
    <w:rsid w:val="00942940"/>
    <w:rsid w:val="00942C52"/>
    <w:rsid w:val="00942DE5"/>
    <w:rsid w:val="009434C8"/>
    <w:rsid w:val="00943B0D"/>
    <w:rsid w:val="00943F51"/>
    <w:rsid w:val="00945218"/>
    <w:rsid w:val="00946786"/>
    <w:rsid w:val="00947042"/>
    <w:rsid w:val="00947339"/>
    <w:rsid w:val="009500DB"/>
    <w:rsid w:val="009502C4"/>
    <w:rsid w:val="009503E4"/>
    <w:rsid w:val="00950514"/>
    <w:rsid w:val="009509C6"/>
    <w:rsid w:val="00951A58"/>
    <w:rsid w:val="0095233B"/>
    <w:rsid w:val="00952861"/>
    <w:rsid w:val="00952999"/>
    <w:rsid w:val="00953838"/>
    <w:rsid w:val="0095481A"/>
    <w:rsid w:val="009559A4"/>
    <w:rsid w:val="0095620A"/>
    <w:rsid w:val="00956F09"/>
    <w:rsid w:val="009575D1"/>
    <w:rsid w:val="009577C6"/>
    <w:rsid w:val="00960692"/>
    <w:rsid w:val="00960D22"/>
    <w:rsid w:val="00960F93"/>
    <w:rsid w:val="00961CF3"/>
    <w:rsid w:val="00962226"/>
    <w:rsid w:val="00962392"/>
    <w:rsid w:val="009629AA"/>
    <w:rsid w:val="00962AD7"/>
    <w:rsid w:val="00962E58"/>
    <w:rsid w:val="009634C8"/>
    <w:rsid w:val="009638D9"/>
    <w:rsid w:val="00963992"/>
    <w:rsid w:val="0096408A"/>
    <w:rsid w:val="00964A43"/>
    <w:rsid w:val="00964AD9"/>
    <w:rsid w:val="009652D0"/>
    <w:rsid w:val="00965BCF"/>
    <w:rsid w:val="00966091"/>
    <w:rsid w:val="009666F1"/>
    <w:rsid w:val="00967B93"/>
    <w:rsid w:val="00970118"/>
    <w:rsid w:val="00970864"/>
    <w:rsid w:val="0097087D"/>
    <w:rsid w:val="009709F6"/>
    <w:rsid w:val="00970B9D"/>
    <w:rsid w:val="00971A91"/>
    <w:rsid w:val="00971A9B"/>
    <w:rsid w:val="00971BBB"/>
    <w:rsid w:val="00972E24"/>
    <w:rsid w:val="0097340C"/>
    <w:rsid w:val="009738F7"/>
    <w:rsid w:val="00973DEE"/>
    <w:rsid w:val="009741E7"/>
    <w:rsid w:val="00974873"/>
    <w:rsid w:val="0097632F"/>
    <w:rsid w:val="0097677C"/>
    <w:rsid w:val="00976AD5"/>
    <w:rsid w:val="0098247A"/>
    <w:rsid w:val="0098276F"/>
    <w:rsid w:val="009837EC"/>
    <w:rsid w:val="0098487F"/>
    <w:rsid w:val="009852F4"/>
    <w:rsid w:val="00985390"/>
    <w:rsid w:val="009853FD"/>
    <w:rsid w:val="00985415"/>
    <w:rsid w:val="0098588D"/>
    <w:rsid w:val="009858C7"/>
    <w:rsid w:val="00985D6A"/>
    <w:rsid w:val="00986754"/>
    <w:rsid w:val="00986F5C"/>
    <w:rsid w:val="009870D8"/>
    <w:rsid w:val="00987754"/>
    <w:rsid w:val="00987AB6"/>
    <w:rsid w:val="00990AF1"/>
    <w:rsid w:val="0099269F"/>
    <w:rsid w:val="00993EF4"/>
    <w:rsid w:val="00993F06"/>
    <w:rsid w:val="00994117"/>
    <w:rsid w:val="009941D8"/>
    <w:rsid w:val="009943E9"/>
    <w:rsid w:val="009949BC"/>
    <w:rsid w:val="00994F87"/>
    <w:rsid w:val="009950E2"/>
    <w:rsid w:val="009953F2"/>
    <w:rsid w:val="00995A16"/>
    <w:rsid w:val="0099653D"/>
    <w:rsid w:val="00996689"/>
    <w:rsid w:val="00996A3E"/>
    <w:rsid w:val="00997508"/>
    <w:rsid w:val="00997ABB"/>
    <w:rsid w:val="00997CB3"/>
    <w:rsid w:val="00997D93"/>
    <w:rsid w:val="009A04BF"/>
    <w:rsid w:val="009A0B7B"/>
    <w:rsid w:val="009A1BD0"/>
    <w:rsid w:val="009A41A4"/>
    <w:rsid w:val="009A481D"/>
    <w:rsid w:val="009A56DE"/>
    <w:rsid w:val="009A6579"/>
    <w:rsid w:val="009A6726"/>
    <w:rsid w:val="009A7501"/>
    <w:rsid w:val="009A757C"/>
    <w:rsid w:val="009B0F3F"/>
    <w:rsid w:val="009B1556"/>
    <w:rsid w:val="009B15D1"/>
    <w:rsid w:val="009B2F56"/>
    <w:rsid w:val="009B4839"/>
    <w:rsid w:val="009B4E6D"/>
    <w:rsid w:val="009B518A"/>
    <w:rsid w:val="009B5809"/>
    <w:rsid w:val="009B58FE"/>
    <w:rsid w:val="009B62E2"/>
    <w:rsid w:val="009B6301"/>
    <w:rsid w:val="009B73CE"/>
    <w:rsid w:val="009B782F"/>
    <w:rsid w:val="009B7A82"/>
    <w:rsid w:val="009B7EFB"/>
    <w:rsid w:val="009C0044"/>
    <w:rsid w:val="009C038D"/>
    <w:rsid w:val="009C0801"/>
    <w:rsid w:val="009C0B11"/>
    <w:rsid w:val="009C11E0"/>
    <w:rsid w:val="009C2AE2"/>
    <w:rsid w:val="009C31D7"/>
    <w:rsid w:val="009C372F"/>
    <w:rsid w:val="009C3F8C"/>
    <w:rsid w:val="009C526D"/>
    <w:rsid w:val="009C5796"/>
    <w:rsid w:val="009C593C"/>
    <w:rsid w:val="009C6550"/>
    <w:rsid w:val="009C6B6C"/>
    <w:rsid w:val="009C7D22"/>
    <w:rsid w:val="009D077A"/>
    <w:rsid w:val="009D08DE"/>
    <w:rsid w:val="009D09C5"/>
    <w:rsid w:val="009D0CE5"/>
    <w:rsid w:val="009D0EA0"/>
    <w:rsid w:val="009D1253"/>
    <w:rsid w:val="009D3581"/>
    <w:rsid w:val="009D3EC4"/>
    <w:rsid w:val="009D452E"/>
    <w:rsid w:val="009D4BA0"/>
    <w:rsid w:val="009D501A"/>
    <w:rsid w:val="009D653F"/>
    <w:rsid w:val="009E03E7"/>
    <w:rsid w:val="009E0CCE"/>
    <w:rsid w:val="009E1011"/>
    <w:rsid w:val="009E183F"/>
    <w:rsid w:val="009E1E31"/>
    <w:rsid w:val="009E2229"/>
    <w:rsid w:val="009E3C9A"/>
    <w:rsid w:val="009E440D"/>
    <w:rsid w:val="009E532D"/>
    <w:rsid w:val="009E5CAE"/>
    <w:rsid w:val="009E734C"/>
    <w:rsid w:val="009E764A"/>
    <w:rsid w:val="009E795F"/>
    <w:rsid w:val="009E7E88"/>
    <w:rsid w:val="009E7EAC"/>
    <w:rsid w:val="009E7FBE"/>
    <w:rsid w:val="009F0A8B"/>
    <w:rsid w:val="009F194F"/>
    <w:rsid w:val="009F1997"/>
    <w:rsid w:val="009F221E"/>
    <w:rsid w:val="009F2960"/>
    <w:rsid w:val="009F2ABE"/>
    <w:rsid w:val="009F3661"/>
    <w:rsid w:val="009F3BB4"/>
    <w:rsid w:val="009F3CA2"/>
    <w:rsid w:val="009F42E3"/>
    <w:rsid w:val="009F43F4"/>
    <w:rsid w:val="009F44D5"/>
    <w:rsid w:val="009F51C9"/>
    <w:rsid w:val="009F6E6E"/>
    <w:rsid w:val="009F7462"/>
    <w:rsid w:val="00A000C4"/>
    <w:rsid w:val="00A019AB"/>
    <w:rsid w:val="00A01A2C"/>
    <w:rsid w:val="00A0235A"/>
    <w:rsid w:val="00A02491"/>
    <w:rsid w:val="00A03CDC"/>
    <w:rsid w:val="00A0432E"/>
    <w:rsid w:val="00A046C3"/>
    <w:rsid w:val="00A04E08"/>
    <w:rsid w:val="00A05AE2"/>
    <w:rsid w:val="00A05F09"/>
    <w:rsid w:val="00A06242"/>
    <w:rsid w:val="00A06893"/>
    <w:rsid w:val="00A0776B"/>
    <w:rsid w:val="00A07EF5"/>
    <w:rsid w:val="00A10C81"/>
    <w:rsid w:val="00A11F11"/>
    <w:rsid w:val="00A12597"/>
    <w:rsid w:val="00A12989"/>
    <w:rsid w:val="00A12A46"/>
    <w:rsid w:val="00A12BCF"/>
    <w:rsid w:val="00A12C25"/>
    <w:rsid w:val="00A1390E"/>
    <w:rsid w:val="00A14591"/>
    <w:rsid w:val="00A1516A"/>
    <w:rsid w:val="00A15398"/>
    <w:rsid w:val="00A1591F"/>
    <w:rsid w:val="00A15D13"/>
    <w:rsid w:val="00A16AF5"/>
    <w:rsid w:val="00A17376"/>
    <w:rsid w:val="00A173AF"/>
    <w:rsid w:val="00A179E4"/>
    <w:rsid w:val="00A21A45"/>
    <w:rsid w:val="00A21CD4"/>
    <w:rsid w:val="00A225F2"/>
    <w:rsid w:val="00A22E20"/>
    <w:rsid w:val="00A22E71"/>
    <w:rsid w:val="00A22E9A"/>
    <w:rsid w:val="00A23171"/>
    <w:rsid w:val="00A23969"/>
    <w:rsid w:val="00A239EC"/>
    <w:rsid w:val="00A24722"/>
    <w:rsid w:val="00A26241"/>
    <w:rsid w:val="00A26757"/>
    <w:rsid w:val="00A26FC0"/>
    <w:rsid w:val="00A27809"/>
    <w:rsid w:val="00A27AFD"/>
    <w:rsid w:val="00A27EE3"/>
    <w:rsid w:val="00A31250"/>
    <w:rsid w:val="00A318F2"/>
    <w:rsid w:val="00A31A53"/>
    <w:rsid w:val="00A31C5B"/>
    <w:rsid w:val="00A324BC"/>
    <w:rsid w:val="00A32509"/>
    <w:rsid w:val="00A325C3"/>
    <w:rsid w:val="00A3277E"/>
    <w:rsid w:val="00A348F3"/>
    <w:rsid w:val="00A34CD3"/>
    <w:rsid w:val="00A35A60"/>
    <w:rsid w:val="00A35D72"/>
    <w:rsid w:val="00A35E43"/>
    <w:rsid w:val="00A35F4C"/>
    <w:rsid w:val="00A3624F"/>
    <w:rsid w:val="00A37483"/>
    <w:rsid w:val="00A37770"/>
    <w:rsid w:val="00A37EE9"/>
    <w:rsid w:val="00A403D4"/>
    <w:rsid w:val="00A4047F"/>
    <w:rsid w:val="00A4129E"/>
    <w:rsid w:val="00A415B3"/>
    <w:rsid w:val="00A417CE"/>
    <w:rsid w:val="00A43222"/>
    <w:rsid w:val="00A43684"/>
    <w:rsid w:val="00A43F66"/>
    <w:rsid w:val="00A4452E"/>
    <w:rsid w:val="00A45476"/>
    <w:rsid w:val="00A45DA9"/>
    <w:rsid w:val="00A46D59"/>
    <w:rsid w:val="00A476E2"/>
    <w:rsid w:val="00A47F2B"/>
    <w:rsid w:val="00A50AC6"/>
    <w:rsid w:val="00A50D99"/>
    <w:rsid w:val="00A50ED4"/>
    <w:rsid w:val="00A5103E"/>
    <w:rsid w:val="00A510EE"/>
    <w:rsid w:val="00A51650"/>
    <w:rsid w:val="00A51D9E"/>
    <w:rsid w:val="00A52695"/>
    <w:rsid w:val="00A52BB2"/>
    <w:rsid w:val="00A54064"/>
    <w:rsid w:val="00A553B0"/>
    <w:rsid w:val="00A556E1"/>
    <w:rsid w:val="00A55995"/>
    <w:rsid w:val="00A5677C"/>
    <w:rsid w:val="00A5773E"/>
    <w:rsid w:val="00A57E6C"/>
    <w:rsid w:val="00A60008"/>
    <w:rsid w:val="00A601E2"/>
    <w:rsid w:val="00A6072E"/>
    <w:rsid w:val="00A60808"/>
    <w:rsid w:val="00A60EA2"/>
    <w:rsid w:val="00A635E4"/>
    <w:rsid w:val="00A64560"/>
    <w:rsid w:val="00A65F78"/>
    <w:rsid w:val="00A66642"/>
    <w:rsid w:val="00A66C30"/>
    <w:rsid w:val="00A66FEE"/>
    <w:rsid w:val="00A67884"/>
    <w:rsid w:val="00A70E2F"/>
    <w:rsid w:val="00A7114D"/>
    <w:rsid w:val="00A71C70"/>
    <w:rsid w:val="00A71D69"/>
    <w:rsid w:val="00A71F77"/>
    <w:rsid w:val="00A72062"/>
    <w:rsid w:val="00A7276D"/>
    <w:rsid w:val="00A73139"/>
    <w:rsid w:val="00A7378D"/>
    <w:rsid w:val="00A739A7"/>
    <w:rsid w:val="00A7594B"/>
    <w:rsid w:val="00A7622A"/>
    <w:rsid w:val="00A76C24"/>
    <w:rsid w:val="00A76E3E"/>
    <w:rsid w:val="00A773A3"/>
    <w:rsid w:val="00A773D3"/>
    <w:rsid w:val="00A805B2"/>
    <w:rsid w:val="00A819F4"/>
    <w:rsid w:val="00A82F5F"/>
    <w:rsid w:val="00A8337C"/>
    <w:rsid w:val="00A83C17"/>
    <w:rsid w:val="00A84632"/>
    <w:rsid w:val="00A8564D"/>
    <w:rsid w:val="00A85E6C"/>
    <w:rsid w:val="00A8670C"/>
    <w:rsid w:val="00A86D76"/>
    <w:rsid w:val="00A86FFC"/>
    <w:rsid w:val="00A878E7"/>
    <w:rsid w:val="00A87E84"/>
    <w:rsid w:val="00A91578"/>
    <w:rsid w:val="00A915FB"/>
    <w:rsid w:val="00A91C99"/>
    <w:rsid w:val="00A93105"/>
    <w:rsid w:val="00A93AA1"/>
    <w:rsid w:val="00A93ABC"/>
    <w:rsid w:val="00A941EF"/>
    <w:rsid w:val="00A949FA"/>
    <w:rsid w:val="00A95959"/>
    <w:rsid w:val="00A960FD"/>
    <w:rsid w:val="00A961FF"/>
    <w:rsid w:val="00A964C1"/>
    <w:rsid w:val="00A965B9"/>
    <w:rsid w:val="00A97963"/>
    <w:rsid w:val="00AA0187"/>
    <w:rsid w:val="00AA0798"/>
    <w:rsid w:val="00AA1A74"/>
    <w:rsid w:val="00AA1BF0"/>
    <w:rsid w:val="00AA2976"/>
    <w:rsid w:val="00AA2D56"/>
    <w:rsid w:val="00AA4313"/>
    <w:rsid w:val="00AA4594"/>
    <w:rsid w:val="00AA52E2"/>
    <w:rsid w:val="00AA76E4"/>
    <w:rsid w:val="00AA7ABC"/>
    <w:rsid w:val="00AAA702"/>
    <w:rsid w:val="00AB03A1"/>
    <w:rsid w:val="00AB03A2"/>
    <w:rsid w:val="00AB03A8"/>
    <w:rsid w:val="00AB0CC9"/>
    <w:rsid w:val="00AB0E87"/>
    <w:rsid w:val="00AB1046"/>
    <w:rsid w:val="00AB137D"/>
    <w:rsid w:val="00AB244C"/>
    <w:rsid w:val="00AB251E"/>
    <w:rsid w:val="00AB2590"/>
    <w:rsid w:val="00AB387A"/>
    <w:rsid w:val="00AB38F0"/>
    <w:rsid w:val="00AB3D74"/>
    <w:rsid w:val="00AB42A1"/>
    <w:rsid w:val="00AB42B8"/>
    <w:rsid w:val="00AB4390"/>
    <w:rsid w:val="00AB5BD0"/>
    <w:rsid w:val="00AB7112"/>
    <w:rsid w:val="00AB72E9"/>
    <w:rsid w:val="00AB75FF"/>
    <w:rsid w:val="00AB79D6"/>
    <w:rsid w:val="00AC0315"/>
    <w:rsid w:val="00AC0483"/>
    <w:rsid w:val="00AC0ADF"/>
    <w:rsid w:val="00AC1190"/>
    <w:rsid w:val="00AC132F"/>
    <w:rsid w:val="00AC1499"/>
    <w:rsid w:val="00AC17B2"/>
    <w:rsid w:val="00AC1C19"/>
    <w:rsid w:val="00AC208E"/>
    <w:rsid w:val="00AC3ADB"/>
    <w:rsid w:val="00AC52AD"/>
    <w:rsid w:val="00AC52B3"/>
    <w:rsid w:val="00AC554E"/>
    <w:rsid w:val="00AC624C"/>
    <w:rsid w:val="00AC6C3E"/>
    <w:rsid w:val="00AC7728"/>
    <w:rsid w:val="00AC7A0E"/>
    <w:rsid w:val="00AC7BAE"/>
    <w:rsid w:val="00AC7D92"/>
    <w:rsid w:val="00AC7E44"/>
    <w:rsid w:val="00AC7FDA"/>
    <w:rsid w:val="00AD0003"/>
    <w:rsid w:val="00AD09D2"/>
    <w:rsid w:val="00AD0F8F"/>
    <w:rsid w:val="00AD1BB8"/>
    <w:rsid w:val="00AD27BF"/>
    <w:rsid w:val="00AD2C31"/>
    <w:rsid w:val="00AD30B6"/>
    <w:rsid w:val="00AD3472"/>
    <w:rsid w:val="00AD3BB2"/>
    <w:rsid w:val="00AD6A56"/>
    <w:rsid w:val="00AE025A"/>
    <w:rsid w:val="00AE0F27"/>
    <w:rsid w:val="00AE198B"/>
    <w:rsid w:val="00AE28EF"/>
    <w:rsid w:val="00AE2B6D"/>
    <w:rsid w:val="00AE3340"/>
    <w:rsid w:val="00AE37FE"/>
    <w:rsid w:val="00AE397F"/>
    <w:rsid w:val="00AE4492"/>
    <w:rsid w:val="00AE4639"/>
    <w:rsid w:val="00AE4A70"/>
    <w:rsid w:val="00AE663E"/>
    <w:rsid w:val="00AE6F0F"/>
    <w:rsid w:val="00AE7689"/>
    <w:rsid w:val="00AF0550"/>
    <w:rsid w:val="00AF1861"/>
    <w:rsid w:val="00AF2564"/>
    <w:rsid w:val="00AF2BDE"/>
    <w:rsid w:val="00AF2E22"/>
    <w:rsid w:val="00AF37DD"/>
    <w:rsid w:val="00AF37F3"/>
    <w:rsid w:val="00AF3C2E"/>
    <w:rsid w:val="00AF426D"/>
    <w:rsid w:val="00AF439D"/>
    <w:rsid w:val="00AF4629"/>
    <w:rsid w:val="00AF54C8"/>
    <w:rsid w:val="00AF5AC1"/>
    <w:rsid w:val="00AF5B59"/>
    <w:rsid w:val="00AF5F81"/>
    <w:rsid w:val="00AF6BE4"/>
    <w:rsid w:val="00AF7333"/>
    <w:rsid w:val="00B013CF"/>
    <w:rsid w:val="00B020EC"/>
    <w:rsid w:val="00B02122"/>
    <w:rsid w:val="00B03592"/>
    <w:rsid w:val="00B03C41"/>
    <w:rsid w:val="00B03F9D"/>
    <w:rsid w:val="00B04125"/>
    <w:rsid w:val="00B04738"/>
    <w:rsid w:val="00B049CC"/>
    <w:rsid w:val="00B04C39"/>
    <w:rsid w:val="00B04DE3"/>
    <w:rsid w:val="00B060A2"/>
    <w:rsid w:val="00B0721B"/>
    <w:rsid w:val="00B10704"/>
    <w:rsid w:val="00B114F1"/>
    <w:rsid w:val="00B122AC"/>
    <w:rsid w:val="00B1254E"/>
    <w:rsid w:val="00B12C38"/>
    <w:rsid w:val="00B13025"/>
    <w:rsid w:val="00B132EE"/>
    <w:rsid w:val="00B13321"/>
    <w:rsid w:val="00B133EB"/>
    <w:rsid w:val="00B1377F"/>
    <w:rsid w:val="00B13B6D"/>
    <w:rsid w:val="00B1484B"/>
    <w:rsid w:val="00B15594"/>
    <w:rsid w:val="00B16A12"/>
    <w:rsid w:val="00B16CEC"/>
    <w:rsid w:val="00B16D6A"/>
    <w:rsid w:val="00B16EE0"/>
    <w:rsid w:val="00B17A3A"/>
    <w:rsid w:val="00B20092"/>
    <w:rsid w:val="00B218C0"/>
    <w:rsid w:val="00B21F4F"/>
    <w:rsid w:val="00B22371"/>
    <w:rsid w:val="00B22E18"/>
    <w:rsid w:val="00B248EF"/>
    <w:rsid w:val="00B24B92"/>
    <w:rsid w:val="00B2596A"/>
    <w:rsid w:val="00B26CC8"/>
    <w:rsid w:val="00B26F73"/>
    <w:rsid w:val="00B2799D"/>
    <w:rsid w:val="00B27E65"/>
    <w:rsid w:val="00B30BBD"/>
    <w:rsid w:val="00B30D79"/>
    <w:rsid w:val="00B30FBC"/>
    <w:rsid w:val="00B32413"/>
    <w:rsid w:val="00B3255B"/>
    <w:rsid w:val="00B325AC"/>
    <w:rsid w:val="00B32B0C"/>
    <w:rsid w:val="00B32FDB"/>
    <w:rsid w:val="00B3333F"/>
    <w:rsid w:val="00B35400"/>
    <w:rsid w:val="00B3663E"/>
    <w:rsid w:val="00B36F8F"/>
    <w:rsid w:val="00B371CA"/>
    <w:rsid w:val="00B37AF2"/>
    <w:rsid w:val="00B400EA"/>
    <w:rsid w:val="00B40285"/>
    <w:rsid w:val="00B40765"/>
    <w:rsid w:val="00B407DE"/>
    <w:rsid w:val="00B41767"/>
    <w:rsid w:val="00B41EEE"/>
    <w:rsid w:val="00B42ECC"/>
    <w:rsid w:val="00B43F1B"/>
    <w:rsid w:val="00B44CAD"/>
    <w:rsid w:val="00B4508B"/>
    <w:rsid w:val="00B45DE8"/>
    <w:rsid w:val="00B4624C"/>
    <w:rsid w:val="00B467FE"/>
    <w:rsid w:val="00B46D8E"/>
    <w:rsid w:val="00B47B20"/>
    <w:rsid w:val="00B5113A"/>
    <w:rsid w:val="00B517F6"/>
    <w:rsid w:val="00B536D5"/>
    <w:rsid w:val="00B53B67"/>
    <w:rsid w:val="00B53EB8"/>
    <w:rsid w:val="00B54389"/>
    <w:rsid w:val="00B54459"/>
    <w:rsid w:val="00B546DA"/>
    <w:rsid w:val="00B54DF0"/>
    <w:rsid w:val="00B56815"/>
    <w:rsid w:val="00B56859"/>
    <w:rsid w:val="00B56998"/>
    <w:rsid w:val="00B56A40"/>
    <w:rsid w:val="00B604CF"/>
    <w:rsid w:val="00B609F5"/>
    <w:rsid w:val="00B619A0"/>
    <w:rsid w:val="00B61C08"/>
    <w:rsid w:val="00B61E7D"/>
    <w:rsid w:val="00B624BD"/>
    <w:rsid w:val="00B62983"/>
    <w:rsid w:val="00B62CC7"/>
    <w:rsid w:val="00B635D2"/>
    <w:rsid w:val="00B63804"/>
    <w:rsid w:val="00B64536"/>
    <w:rsid w:val="00B6487C"/>
    <w:rsid w:val="00B6579D"/>
    <w:rsid w:val="00B662BA"/>
    <w:rsid w:val="00B66B5A"/>
    <w:rsid w:val="00B66C87"/>
    <w:rsid w:val="00B67352"/>
    <w:rsid w:val="00B6743B"/>
    <w:rsid w:val="00B67ED3"/>
    <w:rsid w:val="00B70727"/>
    <w:rsid w:val="00B7080B"/>
    <w:rsid w:val="00B71D4F"/>
    <w:rsid w:val="00B740B0"/>
    <w:rsid w:val="00B74307"/>
    <w:rsid w:val="00B74976"/>
    <w:rsid w:val="00B756E0"/>
    <w:rsid w:val="00B75B75"/>
    <w:rsid w:val="00B75C5C"/>
    <w:rsid w:val="00B76C03"/>
    <w:rsid w:val="00B80100"/>
    <w:rsid w:val="00B81209"/>
    <w:rsid w:val="00B82D82"/>
    <w:rsid w:val="00B83943"/>
    <w:rsid w:val="00B83DF7"/>
    <w:rsid w:val="00B83E4B"/>
    <w:rsid w:val="00B842A9"/>
    <w:rsid w:val="00B844EC"/>
    <w:rsid w:val="00B85215"/>
    <w:rsid w:val="00B8660F"/>
    <w:rsid w:val="00B86E16"/>
    <w:rsid w:val="00B87349"/>
    <w:rsid w:val="00B8748C"/>
    <w:rsid w:val="00B87AAA"/>
    <w:rsid w:val="00B90753"/>
    <w:rsid w:val="00B90911"/>
    <w:rsid w:val="00B90BD1"/>
    <w:rsid w:val="00B9140C"/>
    <w:rsid w:val="00B916BB"/>
    <w:rsid w:val="00B9172F"/>
    <w:rsid w:val="00B91A45"/>
    <w:rsid w:val="00B91C13"/>
    <w:rsid w:val="00B9268A"/>
    <w:rsid w:val="00B928D1"/>
    <w:rsid w:val="00B92A51"/>
    <w:rsid w:val="00B92CFC"/>
    <w:rsid w:val="00B93237"/>
    <w:rsid w:val="00B9335E"/>
    <w:rsid w:val="00B940A3"/>
    <w:rsid w:val="00B9446C"/>
    <w:rsid w:val="00B94AD6"/>
    <w:rsid w:val="00B95D3B"/>
    <w:rsid w:val="00B96820"/>
    <w:rsid w:val="00B97661"/>
    <w:rsid w:val="00BA07C8"/>
    <w:rsid w:val="00BA145A"/>
    <w:rsid w:val="00BA23DA"/>
    <w:rsid w:val="00BA2C77"/>
    <w:rsid w:val="00BA3C8F"/>
    <w:rsid w:val="00BA3F59"/>
    <w:rsid w:val="00BA435D"/>
    <w:rsid w:val="00BA4CF3"/>
    <w:rsid w:val="00BA5382"/>
    <w:rsid w:val="00BA61E3"/>
    <w:rsid w:val="00BA7324"/>
    <w:rsid w:val="00BB148B"/>
    <w:rsid w:val="00BB1BAB"/>
    <w:rsid w:val="00BB2855"/>
    <w:rsid w:val="00BB2889"/>
    <w:rsid w:val="00BB362E"/>
    <w:rsid w:val="00BB4030"/>
    <w:rsid w:val="00BB4145"/>
    <w:rsid w:val="00BB4B0E"/>
    <w:rsid w:val="00BB55DC"/>
    <w:rsid w:val="00BB6B80"/>
    <w:rsid w:val="00BB6DD7"/>
    <w:rsid w:val="00BB79FA"/>
    <w:rsid w:val="00BC019C"/>
    <w:rsid w:val="00BC095E"/>
    <w:rsid w:val="00BC0D76"/>
    <w:rsid w:val="00BC18A3"/>
    <w:rsid w:val="00BC20D5"/>
    <w:rsid w:val="00BC266C"/>
    <w:rsid w:val="00BC26B6"/>
    <w:rsid w:val="00BC2EC6"/>
    <w:rsid w:val="00BC3244"/>
    <w:rsid w:val="00BC329A"/>
    <w:rsid w:val="00BC37FF"/>
    <w:rsid w:val="00BC3E58"/>
    <w:rsid w:val="00BC443C"/>
    <w:rsid w:val="00BC6D46"/>
    <w:rsid w:val="00BC6E49"/>
    <w:rsid w:val="00BD0EB1"/>
    <w:rsid w:val="00BD25FD"/>
    <w:rsid w:val="00BD27C3"/>
    <w:rsid w:val="00BD319C"/>
    <w:rsid w:val="00BD32E3"/>
    <w:rsid w:val="00BD39F6"/>
    <w:rsid w:val="00BD3AE4"/>
    <w:rsid w:val="00BD4172"/>
    <w:rsid w:val="00BD43E7"/>
    <w:rsid w:val="00BD5ACC"/>
    <w:rsid w:val="00BD5B87"/>
    <w:rsid w:val="00BD727D"/>
    <w:rsid w:val="00BD7858"/>
    <w:rsid w:val="00BD78EE"/>
    <w:rsid w:val="00BD819E"/>
    <w:rsid w:val="00BE0338"/>
    <w:rsid w:val="00BE0A98"/>
    <w:rsid w:val="00BE1714"/>
    <w:rsid w:val="00BE1B10"/>
    <w:rsid w:val="00BE1E77"/>
    <w:rsid w:val="00BE3300"/>
    <w:rsid w:val="00BE41E0"/>
    <w:rsid w:val="00BE6150"/>
    <w:rsid w:val="00BE6216"/>
    <w:rsid w:val="00BE67C0"/>
    <w:rsid w:val="00BE6ADE"/>
    <w:rsid w:val="00BE7502"/>
    <w:rsid w:val="00BE7622"/>
    <w:rsid w:val="00BE775B"/>
    <w:rsid w:val="00BE78BC"/>
    <w:rsid w:val="00BF016C"/>
    <w:rsid w:val="00BF0A9B"/>
    <w:rsid w:val="00BF1301"/>
    <w:rsid w:val="00BF1DD9"/>
    <w:rsid w:val="00BF21AD"/>
    <w:rsid w:val="00BF21BE"/>
    <w:rsid w:val="00BF23F9"/>
    <w:rsid w:val="00BF2433"/>
    <w:rsid w:val="00BF2520"/>
    <w:rsid w:val="00BF25B2"/>
    <w:rsid w:val="00BF2D9C"/>
    <w:rsid w:val="00BF3371"/>
    <w:rsid w:val="00BF39A8"/>
    <w:rsid w:val="00BF4104"/>
    <w:rsid w:val="00BF4400"/>
    <w:rsid w:val="00BF4AE5"/>
    <w:rsid w:val="00BF72F3"/>
    <w:rsid w:val="00BF7413"/>
    <w:rsid w:val="00BF7DFB"/>
    <w:rsid w:val="00C000FE"/>
    <w:rsid w:val="00C002F3"/>
    <w:rsid w:val="00C00A6B"/>
    <w:rsid w:val="00C00DA7"/>
    <w:rsid w:val="00C01209"/>
    <w:rsid w:val="00C01F9B"/>
    <w:rsid w:val="00C0289E"/>
    <w:rsid w:val="00C028FD"/>
    <w:rsid w:val="00C0296C"/>
    <w:rsid w:val="00C02C63"/>
    <w:rsid w:val="00C02E19"/>
    <w:rsid w:val="00C031A6"/>
    <w:rsid w:val="00C03450"/>
    <w:rsid w:val="00C03475"/>
    <w:rsid w:val="00C0352E"/>
    <w:rsid w:val="00C039B1"/>
    <w:rsid w:val="00C04182"/>
    <w:rsid w:val="00C04293"/>
    <w:rsid w:val="00C04CFC"/>
    <w:rsid w:val="00C055EC"/>
    <w:rsid w:val="00C05DA5"/>
    <w:rsid w:val="00C05F54"/>
    <w:rsid w:val="00C0645C"/>
    <w:rsid w:val="00C069E2"/>
    <w:rsid w:val="00C06DF6"/>
    <w:rsid w:val="00C07003"/>
    <w:rsid w:val="00C070FE"/>
    <w:rsid w:val="00C071B2"/>
    <w:rsid w:val="00C1044A"/>
    <w:rsid w:val="00C1050D"/>
    <w:rsid w:val="00C10FD1"/>
    <w:rsid w:val="00C11154"/>
    <w:rsid w:val="00C111CD"/>
    <w:rsid w:val="00C113BB"/>
    <w:rsid w:val="00C113C7"/>
    <w:rsid w:val="00C1265A"/>
    <w:rsid w:val="00C126EE"/>
    <w:rsid w:val="00C128BC"/>
    <w:rsid w:val="00C12E35"/>
    <w:rsid w:val="00C1387C"/>
    <w:rsid w:val="00C14763"/>
    <w:rsid w:val="00C152DC"/>
    <w:rsid w:val="00C169A4"/>
    <w:rsid w:val="00C173CF"/>
    <w:rsid w:val="00C17F7F"/>
    <w:rsid w:val="00C20248"/>
    <w:rsid w:val="00C2101F"/>
    <w:rsid w:val="00C22143"/>
    <w:rsid w:val="00C224B0"/>
    <w:rsid w:val="00C229C0"/>
    <w:rsid w:val="00C22C22"/>
    <w:rsid w:val="00C22C23"/>
    <w:rsid w:val="00C22DF5"/>
    <w:rsid w:val="00C23E25"/>
    <w:rsid w:val="00C242E0"/>
    <w:rsid w:val="00C246B6"/>
    <w:rsid w:val="00C24E18"/>
    <w:rsid w:val="00C2542C"/>
    <w:rsid w:val="00C26010"/>
    <w:rsid w:val="00C2601B"/>
    <w:rsid w:val="00C26046"/>
    <w:rsid w:val="00C26062"/>
    <w:rsid w:val="00C261D7"/>
    <w:rsid w:val="00C26B52"/>
    <w:rsid w:val="00C26E5C"/>
    <w:rsid w:val="00C26FB8"/>
    <w:rsid w:val="00C279E7"/>
    <w:rsid w:val="00C27CB1"/>
    <w:rsid w:val="00C30CFA"/>
    <w:rsid w:val="00C30FA1"/>
    <w:rsid w:val="00C31178"/>
    <w:rsid w:val="00C31E84"/>
    <w:rsid w:val="00C31F33"/>
    <w:rsid w:val="00C323E9"/>
    <w:rsid w:val="00C33129"/>
    <w:rsid w:val="00C3312C"/>
    <w:rsid w:val="00C341A0"/>
    <w:rsid w:val="00C34E23"/>
    <w:rsid w:val="00C35212"/>
    <w:rsid w:val="00C3581D"/>
    <w:rsid w:val="00C36069"/>
    <w:rsid w:val="00C361BD"/>
    <w:rsid w:val="00C365B8"/>
    <w:rsid w:val="00C36F03"/>
    <w:rsid w:val="00C36FF3"/>
    <w:rsid w:val="00C4037F"/>
    <w:rsid w:val="00C421B2"/>
    <w:rsid w:val="00C4268A"/>
    <w:rsid w:val="00C42ADD"/>
    <w:rsid w:val="00C42E93"/>
    <w:rsid w:val="00C43187"/>
    <w:rsid w:val="00C436C7"/>
    <w:rsid w:val="00C43795"/>
    <w:rsid w:val="00C444A0"/>
    <w:rsid w:val="00C44854"/>
    <w:rsid w:val="00C44C8D"/>
    <w:rsid w:val="00C45074"/>
    <w:rsid w:val="00C45A71"/>
    <w:rsid w:val="00C45D62"/>
    <w:rsid w:val="00C46BA8"/>
    <w:rsid w:val="00C46FB0"/>
    <w:rsid w:val="00C474DB"/>
    <w:rsid w:val="00C4752C"/>
    <w:rsid w:val="00C50679"/>
    <w:rsid w:val="00C50AE9"/>
    <w:rsid w:val="00C51158"/>
    <w:rsid w:val="00C51525"/>
    <w:rsid w:val="00C51CF0"/>
    <w:rsid w:val="00C52197"/>
    <w:rsid w:val="00C52215"/>
    <w:rsid w:val="00C5241F"/>
    <w:rsid w:val="00C52BA1"/>
    <w:rsid w:val="00C52D23"/>
    <w:rsid w:val="00C530C5"/>
    <w:rsid w:val="00C54118"/>
    <w:rsid w:val="00C55114"/>
    <w:rsid w:val="00C55230"/>
    <w:rsid w:val="00C55F24"/>
    <w:rsid w:val="00C56165"/>
    <w:rsid w:val="00C56561"/>
    <w:rsid w:val="00C56C23"/>
    <w:rsid w:val="00C56EA0"/>
    <w:rsid w:val="00C57C62"/>
    <w:rsid w:val="00C57DAB"/>
    <w:rsid w:val="00C61889"/>
    <w:rsid w:val="00C61DB4"/>
    <w:rsid w:val="00C620B1"/>
    <w:rsid w:val="00C62733"/>
    <w:rsid w:val="00C638FB"/>
    <w:rsid w:val="00C63F62"/>
    <w:rsid w:val="00C641E5"/>
    <w:rsid w:val="00C6493C"/>
    <w:rsid w:val="00C64BAE"/>
    <w:rsid w:val="00C66014"/>
    <w:rsid w:val="00C66388"/>
    <w:rsid w:val="00C667A9"/>
    <w:rsid w:val="00C66CC8"/>
    <w:rsid w:val="00C66DEA"/>
    <w:rsid w:val="00C67401"/>
    <w:rsid w:val="00C67D20"/>
    <w:rsid w:val="00C67D49"/>
    <w:rsid w:val="00C705CF"/>
    <w:rsid w:val="00C70CC0"/>
    <w:rsid w:val="00C720C6"/>
    <w:rsid w:val="00C72B25"/>
    <w:rsid w:val="00C72C35"/>
    <w:rsid w:val="00C72F8B"/>
    <w:rsid w:val="00C737AF"/>
    <w:rsid w:val="00C73CDD"/>
    <w:rsid w:val="00C7408F"/>
    <w:rsid w:val="00C748BB"/>
    <w:rsid w:val="00C755CC"/>
    <w:rsid w:val="00C762B2"/>
    <w:rsid w:val="00C76CB5"/>
    <w:rsid w:val="00C76F4E"/>
    <w:rsid w:val="00C81475"/>
    <w:rsid w:val="00C818FA"/>
    <w:rsid w:val="00C8303A"/>
    <w:rsid w:val="00C83321"/>
    <w:rsid w:val="00C83669"/>
    <w:rsid w:val="00C842D1"/>
    <w:rsid w:val="00C85013"/>
    <w:rsid w:val="00C857D5"/>
    <w:rsid w:val="00C86676"/>
    <w:rsid w:val="00C86842"/>
    <w:rsid w:val="00C868EF"/>
    <w:rsid w:val="00C8764C"/>
    <w:rsid w:val="00C90632"/>
    <w:rsid w:val="00C91993"/>
    <w:rsid w:val="00C91C89"/>
    <w:rsid w:val="00C92040"/>
    <w:rsid w:val="00C93A30"/>
    <w:rsid w:val="00C93AFC"/>
    <w:rsid w:val="00C9485D"/>
    <w:rsid w:val="00C9682F"/>
    <w:rsid w:val="00CA01AA"/>
    <w:rsid w:val="00CA054D"/>
    <w:rsid w:val="00CA130A"/>
    <w:rsid w:val="00CA1BB3"/>
    <w:rsid w:val="00CA20D3"/>
    <w:rsid w:val="00CA2DA0"/>
    <w:rsid w:val="00CA2E61"/>
    <w:rsid w:val="00CA2FAF"/>
    <w:rsid w:val="00CA489C"/>
    <w:rsid w:val="00CA4D08"/>
    <w:rsid w:val="00CA5045"/>
    <w:rsid w:val="00CA6437"/>
    <w:rsid w:val="00CA6A07"/>
    <w:rsid w:val="00CA772F"/>
    <w:rsid w:val="00CA7B1B"/>
    <w:rsid w:val="00CB08A1"/>
    <w:rsid w:val="00CB0D26"/>
    <w:rsid w:val="00CB1EDD"/>
    <w:rsid w:val="00CB2F9C"/>
    <w:rsid w:val="00CB3008"/>
    <w:rsid w:val="00CB33F1"/>
    <w:rsid w:val="00CB379E"/>
    <w:rsid w:val="00CB3DF4"/>
    <w:rsid w:val="00CB3FD1"/>
    <w:rsid w:val="00CB4658"/>
    <w:rsid w:val="00CB5577"/>
    <w:rsid w:val="00CB5850"/>
    <w:rsid w:val="00CB6293"/>
    <w:rsid w:val="00CB640D"/>
    <w:rsid w:val="00CB6770"/>
    <w:rsid w:val="00CB678B"/>
    <w:rsid w:val="00CB6B04"/>
    <w:rsid w:val="00CB6EE9"/>
    <w:rsid w:val="00CC0720"/>
    <w:rsid w:val="00CC094B"/>
    <w:rsid w:val="00CC1543"/>
    <w:rsid w:val="00CC2C74"/>
    <w:rsid w:val="00CC3F6B"/>
    <w:rsid w:val="00CC443C"/>
    <w:rsid w:val="00CC47FE"/>
    <w:rsid w:val="00CC559B"/>
    <w:rsid w:val="00CC5679"/>
    <w:rsid w:val="00CC611D"/>
    <w:rsid w:val="00CC6462"/>
    <w:rsid w:val="00CD0389"/>
    <w:rsid w:val="00CD072A"/>
    <w:rsid w:val="00CD08D7"/>
    <w:rsid w:val="00CD0909"/>
    <w:rsid w:val="00CD1FF7"/>
    <w:rsid w:val="00CD2521"/>
    <w:rsid w:val="00CD29FF"/>
    <w:rsid w:val="00CD41B4"/>
    <w:rsid w:val="00CD4255"/>
    <w:rsid w:val="00CD42FF"/>
    <w:rsid w:val="00CD45E1"/>
    <w:rsid w:val="00CD4B63"/>
    <w:rsid w:val="00CD515A"/>
    <w:rsid w:val="00CD5536"/>
    <w:rsid w:val="00CD6A66"/>
    <w:rsid w:val="00CE062B"/>
    <w:rsid w:val="00CE0B11"/>
    <w:rsid w:val="00CE147A"/>
    <w:rsid w:val="00CE14D8"/>
    <w:rsid w:val="00CE15BF"/>
    <w:rsid w:val="00CE1818"/>
    <w:rsid w:val="00CE253E"/>
    <w:rsid w:val="00CE2C7B"/>
    <w:rsid w:val="00CE3154"/>
    <w:rsid w:val="00CE3AB9"/>
    <w:rsid w:val="00CE41FF"/>
    <w:rsid w:val="00CE573B"/>
    <w:rsid w:val="00CE5F6C"/>
    <w:rsid w:val="00CE68B2"/>
    <w:rsid w:val="00CE691C"/>
    <w:rsid w:val="00CE6C05"/>
    <w:rsid w:val="00CE7720"/>
    <w:rsid w:val="00CE7FED"/>
    <w:rsid w:val="00CF0095"/>
    <w:rsid w:val="00CF0E87"/>
    <w:rsid w:val="00CF0F59"/>
    <w:rsid w:val="00CF0FE1"/>
    <w:rsid w:val="00CF17F2"/>
    <w:rsid w:val="00CF2841"/>
    <w:rsid w:val="00CF2972"/>
    <w:rsid w:val="00CF3A12"/>
    <w:rsid w:val="00CF4EFC"/>
    <w:rsid w:val="00CF610B"/>
    <w:rsid w:val="00CF6251"/>
    <w:rsid w:val="00CF6F2C"/>
    <w:rsid w:val="00D00917"/>
    <w:rsid w:val="00D01827"/>
    <w:rsid w:val="00D01D72"/>
    <w:rsid w:val="00D02147"/>
    <w:rsid w:val="00D021D7"/>
    <w:rsid w:val="00D026FF"/>
    <w:rsid w:val="00D02D0B"/>
    <w:rsid w:val="00D02E0D"/>
    <w:rsid w:val="00D03C10"/>
    <w:rsid w:val="00D041F9"/>
    <w:rsid w:val="00D04374"/>
    <w:rsid w:val="00D0458E"/>
    <w:rsid w:val="00D04701"/>
    <w:rsid w:val="00D05631"/>
    <w:rsid w:val="00D064DD"/>
    <w:rsid w:val="00D06BE0"/>
    <w:rsid w:val="00D07321"/>
    <w:rsid w:val="00D07B4C"/>
    <w:rsid w:val="00D07D52"/>
    <w:rsid w:val="00D101C5"/>
    <w:rsid w:val="00D10833"/>
    <w:rsid w:val="00D108A2"/>
    <w:rsid w:val="00D10A7D"/>
    <w:rsid w:val="00D10C46"/>
    <w:rsid w:val="00D113D3"/>
    <w:rsid w:val="00D1230C"/>
    <w:rsid w:val="00D13657"/>
    <w:rsid w:val="00D13CB8"/>
    <w:rsid w:val="00D13DE8"/>
    <w:rsid w:val="00D142BE"/>
    <w:rsid w:val="00D14407"/>
    <w:rsid w:val="00D1466D"/>
    <w:rsid w:val="00D146C9"/>
    <w:rsid w:val="00D1490E"/>
    <w:rsid w:val="00D14B3E"/>
    <w:rsid w:val="00D14EBD"/>
    <w:rsid w:val="00D15022"/>
    <w:rsid w:val="00D154B5"/>
    <w:rsid w:val="00D155F5"/>
    <w:rsid w:val="00D15B33"/>
    <w:rsid w:val="00D16292"/>
    <w:rsid w:val="00D163AC"/>
    <w:rsid w:val="00D16951"/>
    <w:rsid w:val="00D169C1"/>
    <w:rsid w:val="00D20A8F"/>
    <w:rsid w:val="00D22069"/>
    <w:rsid w:val="00D23917"/>
    <w:rsid w:val="00D26BC5"/>
    <w:rsid w:val="00D27FCE"/>
    <w:rsid w:val="00D32492"/>
    <w:rsid w:val="00D34844"/>
    <w:rsid w:val="00D34BBC"/>
    <w:rsid w:val="00D34F0E"/>
    <w:rsid w:val="00D34F3E"/>
    <w:rsid w:val="00D35010"/>
    <w:rsid w:val="00D3506A"/>
    <w:rsid w:val="00D35329"/>
    <w:rsid w:val="00D3617A"/>
    <w:rsid w:val="00D37366"/>
    <w:rsid w:val="00D41E2A"/>
    <w:rsid w:val="00D41E8F"/>
    <w:rsid w:val="00D41F29"/>
    <w:rsid w:val="00D42954"/>
    <w:rsid w:val="00D42BF0"/>
    <w:rsid w:val="00D4388A"/>
    <w:rsid w:val="00D43F95"/>
    <w:rsid w:val="00D44896"/>
    <w:rsid w:val="00D44BB3"/>
    <w:rsid w:val="00D46459"/>
    <w:rsid w:val="00D47070"/>
    <w:rsid w:val="00D478CB"/>
    <w:rsid w:val="00D47AE4"/>
    <w:rsid w:val="00D47DD8"/>
    <w:rsid w:val="00D5052E"/>
    <w:rsid w:val="00D507D7"/>
    <w:rsid w:val="00D50D9D"/>
    <w:rsid w:val="00D510F7"/>
    <w:rsid w:val="00D5117F"/>
    <w:rsid w:val="00D51A7D"/>
    <w:rsid w:val="00D51B81"/>
    <w:rsid w:val="00D51D2B"/>
    <w:rsid w:val="00D52796"/>
    <w:rsid w:val="00D527DB"/>
    <w:rsid w:val="00D53D13"/>
    <w:rsid w:val="00D53DD4"/>
    <w:rsid w:val="00D54844"/>
    <w:rsid w:val="00D54F4F"/>
    <w:rsid w:val="00D56425"/>
    <w:rsid w:val="00D56A7F"/>
    <w:rsid w:val="00D57051"/>
    <w:rsid w:val="00D573A9"/>
    <w:rsid w:val="00D573B8"/>
    <w:rsid w:val="00D61218"/>
    <w:rsid w:val="00D613A2"/>
    <w:rsid w:val="00D619F5"/>
    <w:rsid w:val="00D61EFF"/>
    <w:rsid w:val="00D63EA0"/>
    <w:rsid w:val="00D6415B"/>
    <w:rsid w:val="00D64794"/>
    <w:rsid w:val="00D64A41"/>
    <w:rsid w:val="00D64ECC"/>
    <w:rsid w:val="00D66B48"/>
    <w:rsid w:val="00D66DAA"/>
    <w:rsid w:val="00D66FB0"/>
    <w:rsid w:val="00D672F8"/>
    <w:rsid w:val="00D67387"/>
    <w:rsid w:val="00D67CF8"/>
    <w:rsid w:val="00D67D4F"/>
    <w:rsid w:val="00D7006D"/>
    <w:rsid w:val="00D72777"/>
    <w:rsid w:val="00D72BC3"/>
    <w:rsid w:val="00D72CF8"/>
    <w:rsid w:val="00D7300A"/>
    <w:rsid w:val="00D7350D"/>
    <w:rsid w:val="00D73BC3"/>
    <w:rsid w:val="00D73C93"/>
    <w:rsid w:val="00D74142"/>
    <w:rsid w:val="00D76C53"/>
    <w:rsid w:val="00D76CAF"/>
    <w:rsid w:val="00D76D80"/>
    <w:rsid w:val="00D773C9"/>
    <w:rsid w:val="00D80E1B"/>
    <w:rsid w:val="00D81DA4"/>
    <w:rsid w:val="00D82152"/>
    <w:rsid w:val="00D82162"/>
    <w:rsid w:val="00D83729"/>
    <w:rsid w:val="00D83EB8"/>
    <w:rsid w:val="00D842D2"/>
    <w:rsid w:val="00D84CF9"/>
    <w:rsid w:val="00D855CA"/>
    <w:rsid w:val="00D85A07"/>
    <w:rsid w:val="00D865FF"/>
    <w:rsid w:val="00D900F0"/>
    <w:rsid w:val="00D903F1"/>
    <w:rsid w:val="00D912F5"/>
    <w:rsid w:val="00D91C12"/>
    <w:rsid w:val="00D921CA"/>
    <w:rsid w:val="00D92EEA"/>
    <w:rsid w:val="00D940B8"/>
    <w:rsid w:val="00D95101"/>
    <w:rsid w:val="00D96181"/>
    <w:rsid w:val="00D962DB"/>
    <w:rsid w:val="00D97714"/>
    <w:rsid w:val="00DA04B1"/>
    <w:rsid w:val="00DA0680"/>
    <w:rsid w:val="00DA11C1"/>
    <w:rsid w:val="00DA1809"/>
    <w:rsid w:val="00DA1B03"/>
    <w:rsid w:val="00DA2060"/>
    <w:rsid w:val="00DA20CF"/>
    <w:rsid w:val="00DA21A4"/>
    <w:rsid w:val="00DA235B"/>
    <w:rsid w:val="00DA29E9"/>
    <w:rsid w:val="00DA42AE"/>
    <w:rsid w:val="00DA4C73"/>
    <w:rsid w:val="00DA5476"/>
    <w:rsid w:val="00DA56D3"/>
    <w:rsid w:val="00DA64B4"/>
    <w:rsid w:val="00DA6796"/>
    <w:rsid w:val="00DA72C5"/>
    <w:rsid w:val="00DA7692"/>
    <w:rsid w:val="00DA7AE4"/>
    <w:rsid w:val="00DB024F"/>
    <w:rsid w:val="00DB0E05"/>
    <w:rsid w:val="00DB20BF"/>
    <w:rsid w:val="00DB415C"/>
    <w:rsid w:val="00DB4480"/>
    <w:rsid w:val="00DB4919"/>
    <w:rsid w:val="00DB5CBC"/>
    <w:rsid w:val="00DB64AD"/>
    <w:rsid w:val="00DC0351"/>
    <w:rsid w:val="00DC051B"/>
    <w:rsid w:val="00DC2F6B"/>
    <w:rsid w:val="00DC3A66"/>
    <w:rsid w:val="00DC3B3E"/>
    <w:rsid w:val="00DC4265"/>
    <w:rsid w:val="00DC4557"/>
    <w:rsid w:val="00DC4610"/>
    <w:rsid w:val="00DC46D9"/>
    <w:rsid w:val="00DC5377"/>
    <w:rsid w:val="00DC5849"/>
    <w:rsid w:val="00DC58AE"/>
    <w:rsid w:val="00DC5DA5"/>
    <w:rsid w:val="00DC6976"/>
    <w:rsid w:val="00DC72C6"/>
    <w:rsid w:val="00DD0A48"/>
    <w:rsid w:val="00DD10F7"/>
    <w:rsid w:val="00DD1CC1"/>
    <w:rsid w:val="00DD2006"/>
    <w:rsid w:val="00DD2E16"/>
    <w:rsid w:val="00DD2ED3"/>
    <w:rsid w:val="00DD33E9"/>
    <w:rsid w:val="00DD3EA8"/>
    <w:rsid w:val="00DD4CCF"/>
    <w:rsid w:val="00DD50FD"/>
    <w:rsid w:val="00DD5AF3"/>
    <w:rsid w:val="00DD5C7C"/>
    <w:rsid w:val="00DD67E9"/>
    <w:rsid w:val="00DD6E99"/>
    <w:rsid w:val="00DE0D2E"/>
    <w:rsid w:val="00DE2469"/>
    <w:rsid w:val="00DE26A4"/>
    <w:rsid w:val="00DE2EF5"/>
    <w:rsid w:val="00DE3434"/>
    <w:rsid w:val="00DE3485"/>
    <w:rsid w:val="00DE3FE5"/>
    <w:rsid w:val="00DE407C"/>
    <w:rsid w:val="00DE4D39"/>
    <w:rsid w:val="00DE54B1"/>
    <w:rsid w:val="00DE5894"/>
    <w:rsid w:val="00DE5CD3"/>
    <w:rsid w:val="00DE5FC6"/>
    <w:rsid w:val="00DE63EE"/>
    <w:rsid w:val="00DE7858"/>
    <w:rsid w:val="00DF0CB9"/>
    <w:rsid w:val="00DF5152"/>
    <w:rsid w:val="00DF5E77"/>
    <w:rsid w:val="00DF6007"/>
    <w:rsid w:val="00DF6699"/>
    <w:rsid w:val="00DF6D02"/>
    <w:rsid w:val="00DF7FD2"/>
    <w:rsid w:val="00E00CD9"/>
    <w:rsid w:val="00E00D98"/>
    <w:rsid w:val="00E00F82"/>
    <w:rsid w:val="00E0126E"/>
    <w:rsid w:val="00E013DA"/>
    <w:rsid w:val="00E016B5"/>
    <w:rsid w:val="00E01831"/>
    <w:rsid w:val="00E01F92"/>
    <w:rsid w:val="00E025A4"/>
    <w:rsid w:val="00E02975"/>
    <w:rsid w:val="00E02E9C"/>
    <w:rsid w:val="00E03140"/>
    <w:rsid w:val="00E03276"/>
    <w:rsid w:val="00E03B3C"/>
    <w:rsid w:val="00E03C0D"/>
    <w:rsid w:val="00E0452B"/>
    <w:rsid w:val="00E0489C"/>
    <w:rsid w:val="00E04986"/>
    <w:rsid w:val="00E0509A"/>
    <w:rsid w:val="00E051AF"/>
    <w:rsid w:val="00E05379"/>
    <w:rsid w:val="00E0559D"/>
    <w:rsid w:val="00E0567D"/>
    <w:rsid w:val="00E06CC8"/>
    <w:rsid w:val="00E07274"/>
    <w:rsid w:val="00E074BA"/>
    <w:rsid w:val="00E07877"/>
    <w:rsid w:val="00E10531"/>
    <w:rsid w:val="00E10ED5"/>
    <w:rsid w:val="00E11061"/>
    <w:rsid w:val="00E1131A"/>
    <w:rsid w:val="00E11587"/>
    <w:rsid w:val="00E1180C"/>
    <w:rsid w:val="00E12151"/>
    <w:rsid w:val="00E1223F"/>
    <w:rsid w:val="00E1229D"/>
    <w:rsid w:val="00E12870"/>
    <w:rsid w:val="00E12C4A"/>
    <w:rsid w:val="00E12CFB"/>
    <w:rsid w:val="00E13296"/>
    <w:rsid w:val="00E14336"/>
    <w:rsid w:val="00E14FD2"/>
    <w:rsid w:val="00E169C1"/>
    <w:rsid w:val="00E16A94"/>
    <w:rsid w:val="00E2013A"/>
    <w:rsid w:val="00E213C7"/>
    <w:rsid w:val="00E2202C"/>
    <w:rsid w:val="00E22727"/>
    <w:rsid w:val="00E22B2B"/>
    <w:rsid w:val="00E239EC"/>
    <w:rsid w:val="00E23F25"/>
    <w:rsid w:val="00E2451D"/>
    <w:rsid w:val="00E245AA"/>
    <w:rsid w:val="00E24650"/>
    <w:rsid w:val="00E24E2B"/>
    <w:rsid w:val="00E26A12"/>
    <w:rsid w:val="00E26E9E"/>
    <w:rsid w:val="00E2702A"/>
    <w:rsid w:val="00E3039A"/>
    <w:rsid w:val="00E30597"/>
    <w:rsid w:val="00E314E7"/>
    <w:rsid w:val="00E316E4"/>
    <w:rsid w:val="00E317FA"/>
    <w:rsid w:val="00E31A31"/>
    <w:rsid w:val="00E31C08"/>
    <w:rsid w:val="00E31D91"/>
    <w:rsid w:val="00E32855"/>
    <w:rsid w:val="00E32AE6"/>
    <w:rsid w:val="00E3340B"/>
    <w:rsid w:val="00E33A01"/>
    <w:rsid w:val="00E33E0C"/>
    <w:rsid w:val="00E34036"/>
    <w:rsid w:val="00E34319"/>
    <w:rsid w:val="00E354A3"/>
    <w:rsid w:val="00E35827"/>
    <w:rsid w:val="00E359A6"/>
    <w:rsid w:val="00E35A43"/>
    <w:rsid w:val="00E37231"/>
    <w:rsid w:val="00E37254"/>
    <w:rsid w:val="00E37F45"/>
    <w:rsid w:val="00E40677"/>
    <w:rsid w:val="00E41152"/>
    <w:rsid w:val="00E411D2"/>
    <w:rsid w:val="00E411EB"/>
    <w:rsid w:val="00E419F3"/>
    <w:rsid w:val="00E41C03"/>
    <w:rsid w:val="00E41FA6"/>
    <w:rsid w:val="00E4233D"/>
    <w:rsid w:val="00E424FC"/>
    <w:rsid w:val="00E42EF1"/>
    <w:rsid w:val="00E43C7C"/>
    <w:rsid w:val="00E45870"/>
    <w:rsid w:val="00E4697C"/>
    <w:rsid w:val="00E47290"/>
    <w:rsid w:val="00E4747F"/>
    <w:rsid w:val="00E475E3"/>
    <w:rsid w:val="00E477C3"/>
    <w:rsid w:val="00E47CB8"/>
    <w:rsid w:val="00E50011"/>
    <w:rsid w:val="00E50556"/>
    <w:rsid w:val="00E505B1"/>
    <w:rsid w:val="00E5126A"/>
    <w:rsid w:val="00E5174F"/>
    <w:rsid w:val="00E523B2"/>
    <w:rsid w:val="00E53522"/>
    <w:rsid w:val="00E5360A"/>
    <w:rsid w:val="00E538F4"/>
    <w:rsid w:val="00E544D9"/>
    <w:rsid w:val="00E54F0C"/>
    <w:rsid w:val="00E5515F"/>
    <w:rsid w:val="00E55467"/>
    <w:rsid w:val="00E55F60"/>
    <w:rsid w:val="00E562C2"/>
    <w:rsid w:val="00E57ECD"/>
    <w:rsid w:val="00E60E4B"/>
    <w:rsid w:val="00E61869"/>
    <w:rsid w:val="00E61B17"/>
    <w:rsid w:val="00E629AE"/>
    <w:rsid w:val="00E62F2B"/>
    <w:rsid w:val="00E62FCA"/>
    <w:rsid w:val="00E62FD1"/>
    <w:rsid w:val="00E6304F"/>
    <w:rsid w:val="00E638EE"/>
    <w:rsid w:val="00E64213"/>
    <w:rsid w:val="00E64852"/>
    <w:rsid w:val="00E6523F"/>
    <w:rsid w:val="00E652C1"/>
    <w:rsid w:val="00E658A4"/>
    <w:rsid w:val="00E65D1E"/>
    <w:rsid w:val="00E65DE9"/>
    <w:rsid w:val="00E6641C"/>
    <w:rsid w:val="00E6659F"/>
    <w:rsid w:val="00E6689E"/>
    <w:rsid w:val="00E67D85"/>
    <w:rsid w:val="00E67F23"/>
    <w:rsid w:val="00E706D1"/>
    <w:rsid w:val="00E708DB"/>
    <w:rsid w:val="00E708F5"/>
    <w:rsid w:val="00E70D2D"/>
    <w:rsid w:val="00E70E65"/>
    <w:rsid w:val="00E71AF8"/>
    <w:rsid w:val="00E7203C"/>
    <w:rsid w:val="00E72BAF"/>
    <w:rsid w:val="00E73BCA"/>
    <w:rsid w:val="00E742CC"/>
    <w:rsid w:val="00E761B1"/>
    <w:rsid w:val="00E80121"/>
    <w:rsid w:val="00E82840"/>
    <w:rsid w:val="00E82FDC"/>
    <w:rsid w:val="00E83B34"/>
    <w:rsid w:val="00E845B7"/>
    <w:rsid w:val="00E845F9"/>
    <w:rsid w:val="00E84CD0"/>
    <w:rsid w:val="00E85043"/>
    <w:rsid w:val="00E85915"/>
    <w:rsid w:val="00E8592C"/>
    <w:rsid w:val="00E86344"/>
    <w:rsid w:val="00E874A9"/>
    <w:rsid w:val="00E878FF"/>
    <w:rsid w:val="00E87EE3"/>
    <w:rsid w:val="00E90203"/>
    <w:rsid w:val="00E90886"/>
    <w:rsid w:val="00E91923"/>
    <w:rsid w:val="00E929E0"/>
    <w:rsid w:val="00E9317D"/>
    <w:rsid w:val="00E948BA"/>
    <w:rsid w:val="00E9491E"/>
    <w:rsid w:val="00E94BD4"/>
    <w:rsid w:val="00E955D6"/>
    <w:rsid w:val="00E957F6"/>
    <w:rsid w:val="00E95AF0"/>
    <w:rsid w:val="00E960ED"/>
    <w:rsid w:val="00E965DD"/>
    <w:rsid w:val="00E96E60"/>
    <w:rsid w:val="00E979D6"/>
    <w:rsid w:val="00EA0358"/>
    <w:rsid w:val="00EA0887"/>
    <w:rsid w:val="00EA0A58"/>
    <w:rsid w:val="00EA1E60"/>
    <w:rsid w:val="00EA2F2B"/>
    <w:rsid w:val="00EA3FD3"/>
    <w:rsid w:val="00EA43DA"/>
    <w:rsid w:val="00EA44EB"/>
    <w:rsid w:val="00EA4780"/>
    <w:rsid w:val="00EA491D"/>
    <w:rsid w:val="00EA61AE"/>
    <w:rsid w:val="00EA6C27"/>
    <w:rsid w:val="00EA7023"/>
    <w:rsid w:val="00EA71D9"/>
    <w:rsid w:val="00EAF51F"/>
    <w:rsid w:val="00EB013B"/>
    <w:rsid w:val="00EB0DA4"/>
    <w:rsid w:val="00EB1A43"/>
    <w:rsid w:val="00EB1A9A"/>
    <w:rsid w:val="00EB1BB3"/>
    <w:rsid w:val="00EB1D6C"/>
    <w:rsid w:val="00EB1F4F"/>
    <w:rsid w:val="00EB236E"/>
    <w:rsid w:val="00EB2E29"/>
    <w:rsid w:val="00EB3AAD"/>
    <w:rsid w:val="00EB4F4B"/>
    <w:rsid w:val="00EB58E8"/>
    <w:rsid w:val="00EB5A02"/>
    <w:rsid w:val="00EB5CEE"/>
    <w:rsid w:val="00EB69E7"/>
    <w:rsid w:val="00EB7540"/>
    <w:rsid w:val="00EB7C8A"/>
    <w:rsid w:val="00EC00CF"/>
    <w:rsid w:val="00EC07F6"/>
    <w:rsid w:val="00EC0A26"/>
    <w:rsid w:val="00EC0F82"/>
    <w:rsid w:val="00EC1546"/>
    <w:rsid w:val="00EC1629"/>
    <w:rsid w:val="00EC1B52"/>
    <w:rsid w:val="00EC1DAB"/>
    <w:rsid w:val="00EC27B6"/>
    <w:rsid w:val="00EC298B"/>
    <w:rsid w:val="00EC2BC2"/>
    <w:rsid w:val="00EC3989"/>
    <w:rsid w:val="00EC419F"/>
    <w:rsid w:val="00EC4B22"/>
    <w:rsid w:val="00EC4F25"/>
    <w:rsid w:val="00EC55E0"/>
    <w:rsid w:val="00EC5A2C"/>
    <w:rsid w:val="00EC6693"/>
    <w:rsid w:val="00ECEDF3"/>
    <w:rsid w:val="00ED0005"/>
    <w:rsid w:val="00ED2682"/>
    <w:rsid w:val="00ED3A33"/>
    <w:rsid w:val="00ED4475"/>
    <w:rsid w:val="00ED4BBD"/>
    <w:rsid w:val="00ED53D2"/>
    <w:rsid w:val="00ED61C5"/>
    <w:rsid w:val="00ED701D"/>
    <w:rsid w:val="00ED7335"/>
    <w:rsid w:val="00ED73DC"/>
    <w:rsid w:val="00ED7964"/>
    <w:rsid w:val="00ED79AD"/>
    <w:rsid w:val="00ED7FD5"/>
    <w:rsid w:val="00EE19E6"/>
    <w:rsid w:val="00EE1F4C"/>
    <w:rsid w:val="00EE51EB"/>
    <w:rsid w:val="00EE5BE9"/>
    <w:rsid w:val="00EE60E6"/>
    <w:rsid w:val="00EE64B2"/>
    <w:rsid w:val="00EE670A"/>
    <w:rsid w:val="00EE6BDA"/>
    <w:rsid w:val="00EE704B"/>
    <w:rsid w:val="00EF0402"/>
    <w:rsid w:val="00EF04B0"/>
    <w:rsid w:val="00EF0C4B"/>
    <w:rsid w:val="00EF0DC9"/>
    <w:rsid w:val="00EF116E"/>
    <w:rsid w:val="00EF1EEF"/>
    <w:rsid w:val="00EF2C30"/>
    <w:rsid w:val="00EF2DB1"/>
    <w:rsid w:val="00EF303A"/>
    <w:rsid w:val="00EF33E2"/>
    <w:rsid w:val="00EF3408"/>
    <w:rsid w:val="00EF3A76"/>
    <w:rsid w:val="00EF3D65"/>
    <w:rsid w:val="00EF3E01"/>
    <w:rsid w:val="00EF4121"/>
    <w:rsid w:val="00EF4702"/>
    <w:rsid w:val="00EF49A8"/>
    <w:rsid w:val="00EF53B5"/>
    <w:rsid w:val="00EF564D"/>
    <w:rsid w:val="00EF682B"/>
    <w:rsid w:val="00EF6D5C"/>
    <w:rsid w:val="00F0046D"/>
    <w:rsid w:val="00F00689"/>
    <w:rsid w:val="00F00D49"/>
    <w:rsid w:val="00F0153F"/>
    <w:rsid w:val="00F01620"/>
    <w:rsid w:val="00F016CE"/>
    <w:rsid w:val="00F01859"/>
    <w:rsid w:val="00F01D9C"/>
    <w:rsid w:val="00F01EFD"/>
    <w:rsid w:val="00F0200A"/>
    <w:rsid w:val="00F02D4F"/>
    <w:rsid w:val="00F02E34"/>
    <w:rsid w:val="00F03055"/>
    <w:rsid w:val="00F0331A"/>
    <w:rsid w:val="00F03985"/>
    <w:rsid w:val="00F039E2"/>
    <w:rsid w:val="00F040A9"/>
    <w:rsid w:val="00F04387"/>
    <w:rsid w:val="00F056B7"/>
    <w:rsid w:val="00F0658C"/>
    <w:rsid w:val="00F07599"/>
    <w:rsid w:val="00F100DB"/>
    <w:rsid w:val="00F101C8"/>
    <w:rsid w:val="00F101C9"/>
    <w:rsid w:val="00F10227"/>
    <w:rsid w:val="00F1065E"/>
    <w:rsid w:val="00F10C70"/>
    <w:rsid w:val="00F11C1B"/>
    <w:rsid w:val="00F120FE"/>
    <w:rsid w:val="00F122A5"/>
    <w:rsid w:val="00F123E1"/>
    <w:rsid w:val="00F12775"/>
    <w:rsid w:val="00F12812"/>
    <w:rsid w:val="00F12959"/>
    <w:rsid w:val="00F13DE3"/>
    <w:rsid w:val="00F147BD"/>
    <w:rsid w:val="00F148A7"/>
    <w:rsid w:val="00F151B2"/>
    <w:rsid w:val="00F15C8B"/>
    <w:rsid w:val="00F16333"/>
    <w:rsid w:val="00F16986"/>
    <w:rsid w:val="00F20356"/>
    <w:rsid w:val="00F20681"/>
    <w:rsid w:val="00F22CB4"/>
    <w:rsid w:val="00F235DB"/>
    <w:rsid w:val="00F25495"/>
    <w:rsid w:val="00F254DC"/>
    <w:rsid w:val="00F2588D"/>
    <w:rsid w:val="00F26D8A"/>
    <w:rsid w:val="00F26FA2"/>
    <w:rsid w:val="00F27B2A"/>
    <w:rsid w:val="00F30280"/>
    <w:rsid w:val="00F30BF3"/>
    <w:rsid w:val="00F3146B"/>
    <w:rsid w:val="00F317A9"/>
    <w:rsid w:val="00F31D7B"/>
    <w:rsid w:val="00F3295A"/>
    <w:rsid w:val="00F32CF8"/>
    <w:rsid w:val="00F3329A"/>
    <w:rsid w:val="00F33472"/>
    <w:rsid w:val="00F3512D"/>
    <w:rsid w:val="00F35395"/>
    <w:rsid w:val="00F35C22"/>
    <w:rsid w:val="00F35E3C"/>
    <w:rsid w:val="00F37484"/>
    <w:rsid w:val="00F3763E"/>
    <w:rsid w:val="00F37915"/>
    <w:rsid w:val="00F37ADE"/>
    <w:rsid w:val="00F4045C"/>
    <w:rsid w:val="00F412B7"/>
    <w:rsid w:val="00F41518"/>
    <w:rsid w:val="00F4189C"/>
    <w:rsid w:val="00F427CE"/>
    <w:rsid w:val="00F42E4C"/>
    <w:rsid w:val="00F432BD"/>
    <w:rsid w:val="00F4373E"/>
    <w:rsid w:val="00F43B02"/>
    <w:rsid w:val="00F44658"/>
    <w:rsid w:val="00F450E6"/>
    <w:rsid w:val="00F4607C"/>
    <w:rsid w:val="00F4705C"/>
    <w:rsid w:val="00F47A3A"/>
    <w:rsid w:val="00F50773"/>
    <w:rsid w:val="00F50800"/>
    <w:rsid w:val="00F50F40"/>
    <w:rsid w:val="00F51082"/>
    <w:rsid w:val="00F52670"/>
    <w:rsid w:val="00F52788"/>
    <w:rsid w:val="00F529FB"/>
    <w:rsid w:val="00F53362"/>
    <w:rsid w:val="00F5365D"/>
    <w:rsid w:val="00F5367D"/>
    <w:rsid w:val="00F53848"/>
    <w:rsid w:val="00F53B21"/>
    <w:rsid w:val="00F53B2E"/>
    <w:rsid w:val="00F53EA2"/>
    <w:rsid w:val="00F53F20"/>
    <w:rsid w:val="00F541AA"/>
    <w:rsid w:val="00F54498"/>
    <w:rsid w:val="00F54A95"/>
    <w:rsid w:val="00F55DA4"/>
    <w:rsid w:val="00F562D0"/>
    <w:rsid w:val="00F56707"/>
    <w:rsid w:val="00F56C6E"/>
    <w:rsid w:val="00F56CF4"/>
    <w:rsid w:val="00F5728F"/>
    <w:rsid w:val="00F57E5A"/>
    <w:rsid w:val="00F60099"/>
    <w:rsid w:val="00F61A1D"/>
    <w:rsid w:val="00F62865"/>
    <w:rsid w:val="00F62BC9"/>
    <w:rsid w:val="00F6380A"/>
    <w:rsid w:val="00F64A04"/>
    <w:rsid w:val="00F64CD3"/>
    <w:rsid w:val="00F654F7"/>
    <w:rsid w:val="00F66197"/>
    <w:rsid w:val="00F66732"/>
    <w:rsid w:val="00F66DAE"/>
    <w:rsid w:val="00F67856"/>
    <w:rsid w:val="00F702A4"/>
    <w:rsid w:val="00F70BA7"/>
    <w:rsid w:val="00F70FE8"/>
    <w:rsid w:val="00F71275"/>
    <w:rsid w:val="00F71B2F"/>
    <w:rsid w:val="00F72CE1"/>
    <w:rsid w:val="00F72E3A"/>
    <w:rsid w:val="00F72F3E"/>
    <w:rsid w:val="00F73C06"/>
    <w:rsid w:val="00F74454"/>
    <w:rsid w:val="00F74C5B"/>
    <w:rsid w:val="00F757F5"/>
    <w:rsid w:val="00F75820"/>
    <w:rsid w:val="00F77539"/>
    <w:rsid w:val="00F777F1"/>
    <w:rsid w:val="00F77C36"/>
    <w:rsid w:val="00F808E2"/>
    <w:rsid w:val="00F810B9"/>
    <w:rsid w:val="00F81263"/>
    <w:rsid w:val="00F8137E"/>
    <w:rsid w:val="00F81921"/>
    <w:rsid w:val="00F82084"/>
    <w:rsid w:val="00F825F1"/>
    <w:rsid w:val="00F834C2"/>
    <w:rsid w:val="00F8387C"/>
    <w:rsid w:val="00F84306"/>
    <w:rsid w:val="00F84C2D"/>
    <w:rsid w:val="00F850CE"/>
    <w:rsid w:val="00F85FFA"/>
    <w:rsid w:val="00F86306"/>
    <w:rsid w:val="00F872B8"/>
    <w:rsid w:val="00F91DF3"/>
    <w:rsid w:val="00F9243E"/>
    <w:rsid w:val="00F926DC"/>
    <w:rsid w:val="00F93D22"/>
    <w:rsid w:val="00F93EDE"/>
    <w:rsid w:val="00F94028"/>
    <w:rsid w:val="00F94120"/>
    <w:rsid w:val="00F95BD9"/>
    <w:rsid w:val="00F95D96"/>
    <w:rsid w:val="00F966DF"/>
    <w:rsid w:val="00F96FA5"/>
    <w:rsid w:val="00F9AB35"/>
    <w:rsid w:val="00FA029B"/>
    <w:rsid w:val="00FA0674"/>
    <w:rsid w:val="00FA0B08"/>
    <w:rsid w:val="00FA15BE"/>
    <w:rsid w:val="00FA16C5"/>
    <w:rsid w:val="00FA1830"/>
    <w:rsid w:val="00FA1CBE"/>
    <w:rsid w:val="00FA22AE"/>
    <w:rsid w:val="00FA2B19"/>
    <w:rsid w:val="00FA2B30"/>
    <w:rsid w:val="00FA3D79"/>
    <w:rsid w:val="00FA4E55"/>
    <w:rsid w:val="00FA5323"/>
    <w:rsid w:val="00FA61E4"/>
    <w:rsid w:val="00FA75E4"/>
    <w:rsid w:val="00FB0E06"/>
    <w:rsid w:val="00FB179C"/>
    <w:rsid w:val="00FB1D1C"/>
    <w:rsid w:val="00FB1DBD"/>
    <w:rsid w:val="00FB3324"/>
    <w:rsid w:val="00FB48F1"/>
    <w:rsid w:val="00FB5AFE"/>
    <w:rsid w:val="00FB6358"/>
    <w:rsid w:val="00FB6ACD"/>
    <w:rsid w:val="00FB6E4B"/>
    <w:rsid w:val="00FB756A"/>
    <w:rsid w:val="00FB7934"/>
    <w:rsid w:val="00FB7CBD"/>
    <w:rsid w:val="00FC000A"/>
    <w:rsid w:val="00FC17C1"/>
    <w:rsid w:val="00FC1BEB"/>
    <w:rsid w:val="00FC21F1"/>
    <w:rsid w:val="00FC2A36"/>
    <w:rsid w:val="00FC2B89"/>
    <w:rsid w:val="00FC3165"/>
    <w:rsid w:val="00FC3537"/>
    <w:rsid w:val="00FC3603"/>
    <w:rsid w:val="00FC4C5A"/>
    <w:rsid w:val="00FC4FD4"/>
    <w:rsid w:val="00FC5AA0"/>
    <w:rsid w:val="00FC6288"/>
    <w:rsid w:val="00FC76B1"/>
    <w:rsid w:val="00FC7D14"/>
    <w:rsid w:val="00FCD772"/>
    <w:rsid w:val="00FD02AF"/>
    <w:rsid w:val="00FD149C"/>
    <w:rsid w:val="00FD18D0"/>
    <w:rsid w:val="00FD1EA3"/>
    <w:rsid w:val="00FD2081"/>
    <w:rsid w:val="00FD21C3"/>
    <w:rsid w:val="00FD3180"/>
    <w:rsid w:val="00FD318C"/>
    <w:rsid w:val="00FD3651"/>
    <w:rsid w:val="00FD375D"/>
    <w:rsid w:val="00FD3C7D"/>
    <w:rsid w:val="00FD4710"/>
    <w:rsid w:val="00FD4E9A"/>
    <w:rsid w:val="00FD50D1"/>
    <w:rsid w:val="00FD51DD"/>
    <w:rsid w:val="00FD5FCB"/>
    <w:rsid w:val="00FD658B"/>
    <w:rsid w:val="00FD6792"/>
    <w:rsid w:val="00FD7F1D"/>
    <w:rsid w:val="00FE00EF"/>
    <w:rsid w:val="00FE06F6"/>
    <w:rsid w:val="00FE076A"/>
    <w:rsid w:val="00FE08FD"/>
    <w:rsid w:val="00FE2476"/>
    <w:rsid w:val="00FE2E35"/>
    <w:rsid w:val="00FE39E9"/>
    <w:rsid w:val="00FE5218"/>
    <w:rsid w:val="00FE5668"/>
    <w:rsid w:val="00FE5E01"/>
    <w:rsid w:val="00FE6DD9"/>
    <w:rsid w:val="00FE7126"/>
    <w:rsid w:val="00FF15BF"/>
    <w:rsid w:val="00FF206E"/>
    <w:rsid w:val="00FF25B0"/>
    <w:rsid w:val="00FF2631"/>
    <w:rsid w:val="00FF2798"/>
    <w:rsid w:val="00FF3768"/>
    <w:rsid w:val="00FF3FA6"/>
    <w:rsid w:val="00FF69F0"/>
    <w:rsid w:val="00FF6ABE"/>
    <w:rsid w:val="00FF6E1C"/>
    <w:rsid w:val="00FF7EA9"/>
    <w:rsid w:val="01123FA0"/>
    <w:rsid w:val="012E0C89"/>
    <w:rsid w:val="0130E783"/>
    <w:rsid w:val="014C7647"/>
    <w:rsid w:val="0168BF67"/>
    <w:rsid w:val="0180C193"/>
    <w:rsid w:val="018E0F4C"/>
    <w:rsid w:val="0195FF2A"/>
    <w:rsid w:val="019A38B6"/>
    <w:rsid w:val="019DC2FF"/>
    <w:rsid w:val="01AA1630"/>
    <w:rsid w:val="01D608E1"/>
    <w:rsid w:val="0229FC79"/>
    <w:rsid w:val="023301CE"/>
    <w:rsid w:val="024F894D"/>
    <w:rsid w:val="026E47AA"/>
    <w:rsid w:val="028376D6"/>
    <w:rsid w:val="02B90659"/>
    <w:rsid w:val="02C7700D"/>
    <w:rsid w:val="02CA2D8E"/>
    <w:rsid w:val="02FF2114"/>
    <w:rsid w:val="0300653C"/>
    <w:rsid w:val="0303F413"/>
    <w:rsid w:val="031569D3"/>
    <w:rsid w:val="032949AC"/>
    <w:rsid w:val="033FFE0C"/>
    <w:rsid w:val="034729E0"/>
    <w:rsid w:val="036540C9"/>
    <w:rsid w:val="036A775C"/>
    <w:rsid w:val="03840EAD"/>
    <w:rsid w:val="03A1BDFF"/>
    <w:rsid w:val="03A83CEB"/>
    <w:rsid w:val="03CC8FB5"/>
    <w:rsid w:val="03E8D153"/>
    <w:rsid w:val="0401D30E"/>
    <w:rsid w:val="0406B2DC"/>
    <w:rsid w:val="0411E927"/>
    <w:rsid w:val="0420E033"/>
    <w:rsid w:val="04230C6B"/>
    <w:rsid w:val="0436175C"/>
    <w:rsid w:val="04443128"/>
    <w:rsid w:val="0449BE9E"/>
    <w:rsid w:val="0477FEC2"/>
    <w:rsid w:val="048A24D2"/>
    <w:rsid w:val="04A41167"/>
    <w:rsid w:val="04AAB513"/>
    <w:rsid w:val="04C6078C"/>
    <w:rsid w:val="04D0FD39"/>
    <w:rsid w:val="04D37A93"/>
    <w:rsid w:val="04F1E496"/>
    <w:rsid w:val="050FAF19"/>
    <w:rsid w:val="052AFBC7"/>
    <w:rsid w:val="05426638"/>
    <w:rsid w:val="0552B2FC"/>
    <w:rsid w:val="0577EA26"/>
    <w:rsid w:val="05789864"/>
    <w:rsid w:val="058468E4"/>
    <w:rsid w:val="0585CAC9"/>
    <w:rsid w:val="058729E9"/>
    <w:rsid w:val="05922825"/>
    <w:rsid w:val="0592619B"/>
    <w:rsid w:val="059AB1F4"/>
    <w:rsid w:val="059B54DB"/>
    <w:rsid w:val="059BBCF2"/>
    <w:rsid w:val="059BC161"/>
    <w:rsid w:val="05A28912"/>
    <w:rsid w:val="05B55446"/>
    <w:rsid w:val="05D0A50C"/>
    <w:rsid w:val="05F042C0"/>
    <w:rsid w:val="06030CD5"/>
    <w:rsid w:val="0608DCA7"/>
    <w:rsid w:val="06098C17"/>
    <w:rsid w:val="060B6286"/>
    <w:rsid w:val="0628D80F"/>
    <w:rsid w:val="06515EDB"/>
    <w:rsid w:val="06541E41"/>
    <w:rsid w:val="06690509"/>
    <w:rsid w:val="067A2006"/>
    <w:rsid w:val="068AE94A"/>
    <w:rsid w:val="06BDE060"/>
    <w:rsid w:val="06CAD920"/>
    <w:rsid w:val="06CF06F0"/>
    <w:rsid w:val="06DDB4E8"/>
    <w:rsid w:val="06E3DBA4"/>
    <w:rsid w:val="06FE571A"/>
    <w:rsid w:val="072F9041"/>
    <w:rsid w:val="073CBFCA"/>
    <w:rsid w:val="073E5776"/>
    <w:rsid w:val="07936B0D"/>
    <w:rsid w:val="0799E682"/>
    <w:rsid w:val="07C9ACCC"/>
    <w:rsid w:val="07CC5A92"/>
    <w:rsid w:val="07CD8D35"/>
    <w:rsid w:val="07D488D5"/>
    <w:rsid w:val="080A1E49"/>
    <w:rsid w:val="080A5553"/>
    <w:rsid w:val="083A169E"/>
    <w:rsid w:val="084223D6"/>
    <w:rsid w:val="08624F15"/>
    <w:rsid w:val="087E76F0"/>
    <w:rsid w:val="08821E0C"/>
    <w:rsid w:val="088FD2F0"/>
    <w:rsid w:val="089F52B2"/>
    <w:rsid w:val="08A7DD26"/>
    <w:rsid w:val="08A8E766"/>
    <w:rsid w:val="08BE106D"/>
    <w:rsid w:val="08D57306"/>
    <w:rsid w:val="08F5B864"/>
    <w:rsid w:val="09036187"/>
    <w:rsid w:val="091A99C8"/>
    <w:rsid w:val="0925F017"/>
    <w:rsid w:val="092C4288"/>
    <w:rsid w:val="093DFD6D"/>
    <w:rsid w:val="096AFBE9"/>
    <w:rsid w:val="096F9A9B"/>
    <w:rsid w:val="097C858C"/>
    <w:rsid w:val="097FB1D4"/>
    <w:rsid w:val="0994B050"/>
    <w:rsid w:val="099CBACF"/>
    <w:rsid w:val="09AA17ED"/>
    <w:rsid w:val="09BAC1BF"/>
    <w:rsid w:val="09C2F51C"/>
    <w:rsid w:val="09DC504D"/>
    <w:rsid w:val="09E67178"/>
    <w:rsid w:val="09F3222C"/>
    <w:rsid w:val="0A224E46"/>
    <w:rsid w:val="0A3F53AB"/>
    <w:rsid w:val="0A5C249D"/>
    <w:rsid w:val="0A67A581"/>
    <w:rsid w:val="0A6D6294"/>
    <w:rsid w:val="0A706F97"/>
    <w:rsid w:val="0A72717A"/>
    <w:rsid w:val="0A72C076"/>
    <w:rsid w:val="0A7A122B"/>
    <w:rsid w:val="0A850D9B"/>
    <w:rsid w:val="0A9B77FD"/>
    <w:rsid w:val="0A9EB0E6"/>
    <w:rsid w:val="0ABA685A"/>
    <w:rsid w:val="0AE08B1F"/>
    <w:rsid w:val="0AE67882"/>
    <w:rsid w:val="0AF5BD93"/>
    <w:rsid w:val="0AF7C8AD"/>
    <w:rsid w:val="0B01C587"/>
    <w:rsid w:val="0B12C088"/>
    <w:rsid w:val="0B184978"/>
    <w:rsid w:val="0B251CEE"/>
    <w:rsid w:val="0B253C1A"/>
    <w:rsid w:val="0B28C9FF"/>
    <w:rsid w:val="0B2CC860"/>
    <w:rsid w:val="0B462884"/>
    <w:rsid w:val="0B5BB72F"/>
    <w:rsid w:val="0B65D8CB"/>
    <w:rsid w:val="0B84652D"/>
    <w:rsid w:val="0B8D1944"/>
    <w:rsid w:val="0B9274FA"/>
    <w:rsid w:val="0BAFA3F4"/>
    <w:rsid w:val="0BD3CC80"/>
    <w:rsid w:val="0BE31DA1"/>
    <w:rsid w:val="0BF42BAF"/>
    <w:rsid w:val="0BFA84C4"/>
    <w:rsid w:val="0C152416"/>
    <w:rsid w:val="0C2AE6C7"/>
    <w:rsid w:val="0C6AC7D7"/>
    <w:rsid w:val="0CA895D6"/>
    <w:rsid w:val="0CC92DC9"/>
    <w:rsid w:val="0CCD3BB9"/>
    <w:rsid w:val="0CD9A9F3"/>
    <w:rsid w:val="0CDA2A83"/>
    <w:rsid w:val="0D087522"/>
    <w:rsid w:val="0D22FF7D"/>
    <w:rsid w:val="0D3D7CBE"/>
    <w:rsid w:val="0D57C2B4"/>
    <w:rsid w:val="0D718071"/>
    <w:rsid w:val="0D8560EE"/>
    <w:rsid w:val="0D8D4444"/>
    <w:rsid w:val="0D8DE871"/>
    <w:rsid w:val="0D9BAFA9"/>
    <w:rsid w:val="0DA66928"/>
    <w:rsid w:val="0DA7A5B4"/>
    <w:rsid w:val="0DAFB2EE"/>
    <w:rsid w:val="0DBBD987"/>
    <w:rsid w:val="0DC4AB80"/>
    <w:rsid w:val="0DC6A999"/>
    <w:rsid w:val="0DCC6D64"/>
    <w:rsid w:val="0DCFF9EB"/>
    <w:rsid w:val="0DE74580"/>
    <w:rsid w:val="0DF047CF"/>
    <w:rsid w:val="0DFD73E5"/>
    <w:rsid w:val="0E0099C8"/>
    <w:rsid w:val="0E0571F7"/>
    <w:rsid w:val="0E12560C"/>
    <w:rsid w:val="0E37F087"/>
    <w:rsid w:val="0E3C4AD5"/>
    <w:rsid w:val="0E484C6E"/>
    <w:rsid w:val="0E674D7A"/>
    <w:rsid w:val="0E7404DB"/>
    <w:rsid w:val="0E9E9BBD"/>
    <w:rsid w:val="0EB0C2C7"/>
    <w:rsid w:val="0EB38F90"/>
    <w:rsid w:val="0EC24371"/>
    <w:rsid w:val="0EC64B85"/>
    <w:rsid w:val="0ED7F543"/>
    <w:rsid w:val="0EDD029E"/>
    <w:rsid w:val="0F0308E7"/>
    <w:rsid w:val="0F0F7263"/>
    <w:rsid w:val="0F1C6048"/>
    <w:rsid w:val="0F2C8A89"/>
    <w:rsid w:val="0F64D1EA"/>
    <w:rsid w:val="0F809C9D"/>
    <w:rsid w:val="0F9AF7B7"/>
    <w:rsid w:val="0FC6FF5E"/>
    <w:rsid w:val="0FCACAE1"/>
    <w:rsid w:val="0FD74187"/>
    <w:rsid w:val="0FECBAD7"/>
    <w:rsid w:val="0FF0B684"/>
    <w:rsid w:val="0FF50F4C"/>
    <w:rsid w:val="100EBFF6"/>
    <w:rsid w:val="10141CC8"/>
    <w:rsid w:val="101BEF5F"/>
    <w:rsid w:val="103657E2"/>
    <w:rsid w:val="105F92CB"/>
    <w:rsid w:val="106BA267"/>
    <w:rsid w:val="10895EBD"/>
    <w:rsid w:val="1095B4A9"/>
    <w:rsid w:val="10A7FC34"/>
    <w:rsid w:val="10A84404"/>
    <w:rsid w:val="10A9F0B8"/>
    <w:rsid w:val="10C2C0A5"/>
    <w:rsid w:val="10C6ECB6"/>
    <w:rsid w:val="10D6A725"/>
    <w:rsid w:val="10DAFA9A"/>
    <w:rsid w:val="10DE70E9"/>
    <w:rsid w:val="10E933CA"/>
    <w:rsid w:val="10ECEFAC"/>
    <w:rsid w:val="11032F06"/>
    <w:rsid w:val="1124B37E"/>
    <w:rsid w:val="1141EF22"/>
    <w:rsid w:val="114602DC"/>
    <w:rsid w:val="114833FE"/>
    <w:rsid w:val="114BE57B"/>
    <w:rsid w:val="1155C45D"/>
    <w:rsid w:val="115F60C1"/>
    <w:rsid w:val="11624EB0"/>
    <w:rsid w:val="116DD9B8"/>
    <w:rsid w:val="11880A10"/>
    <w:rsid w:val="1194DF71"/>
    <w:rsid w:val="11C6F2C5"/>
    <w:rsid w:val="11E3928F"/>
    <w:rsid w:val="11F4B963"/>
    <w:rsid w:val="12091773"/>
    <w:rsid w:val="12402ACB"/>
    <w:rsid w:val="1256AE3F"/>
    <w:rsid w:val="128289D9"/>
    <w:rsid w:val="129048DA"/>
    <w:rsid w:val="1294F412"/>
    <w:rsid w:val="12A00EC4"/>
    <w:rsid w:val="12A67ECB"/>
    <w:rsid w:val="12E029F5"/>
    <w:rsid w:val="12F02053"/>
    <w:rsid w:val="130ECEDE"/>
    <w:rsid w:val="130F7F4C"/>
    <w:rsid w:val="132DD6E3"/>
    <w:rsid w:val="1366332F"/>
    <w:rsid w:val="137E0B71"/>
    <w:rsid w:val="138CC5DB"/>
    <w:rsid w:val="13A29923"/>
    <w:rsid w:val="13A40191"/>
    <w:rsid w:val="13BA555E"/>
    <w:rsid w:val="13BEF2E3"/>
    <w:rsid w:val="13C660EC"/>
    <w:rsid w:val="13DFAA89"/>
    <w:rsid w:val="13FD57D0"/>
    <w:rsid w:val="1419D583"/>
    <w:rsid w:val="14279AF0"/>
    <w:rsid w:val="14561821"/>
    <w:rsid w:val="14617E26"/>
    <w:rsid w:val="1465C831"/>
    <w:rsid w:val="1474E128"/>
    <w:rsid w:val="149EC586"/>
    <w:rsid w:val="149FF4E7"/>
    <w:rsid w:val="14D417CD"/>
    <w:rsid w:val="14D63D0A"/>
    <w:rsid w:val="14DF4215"/>
    <w:rsid w:val="14EF2F95"/>
    <w:rsid w:val="15312BFD"/>
    <w:rsid w:val="1556CAB4"/>
    <w:rsid w:val="156A78E1"/>
    <w:rsid w:val="15703F95"/>
    <w:rsid w:val="1577E143"/>
    <w:rsid w:val="15800355"/>
    <w:rsid w:val="1590F405"/>
    <w:rsid w:val="15AC4D95"/>
    <w:rsid w:val="15ADA5FF"/>
    <w:rsid w:val="15CE9886"/>
    <w:rsid w:val="15F31310"/>
    <w:rsid w:val="16062DAD"/>
    <w:rsid w:val="160B0D8A"/>
    <w:rsid w:val="162229E3"/>
    <w:rsid w:val="1629ABE6"/>
    <w:rsid w:val="16609B58"/>
    <w:rsid w:val="1665014A"/>
    <w:rsid w:val="166DCBA9"/>
    <w:rsid w:val="168E9AD4"/>
    <w:rsid w:val="16995E24"/>
    <w:rsid w:val="16E392B9"/>
    <w:rsid w:val="16FB7AD2"/>
    <w:rsid w:val="16FED612"/>
    <w:rsid w:val="171BAF68"/>
    <w:rsid w:val="1729E9C4"/>
    <w:rsid w:val="17315DB3"/>
    <w:rsid w:val="173463E1"/>
    <w:rsid w:val="173B082E"/>
    <w:rsid w:val="173DEB57"/>
    <w:rsid w:val="1787D962"/>
    <w:rsid w:val="178E0CFF"/>
    <w:rsid w:val="179B7976"/>
    <w:rsid w:val="17CE7A22"/>
    <w:rsid w:val="17D13FD3"/>
    <w:rsid w:val="17FF8CEE"/>
    <w:rsid w:val="180C3CB0"/>
    <w:rsid w:val="18132B88"/>
    <w:rsid w:val="18146A99"/>
    <w:rsid w:val="181765DE"/>
    <w:rsid w:val="18342DA8"/>
    <w:rsid w:val="18352AD1"/>
    <w:rsid w:val="1844AE27"/>
    <w:rsid w:val="184D86F9"/>
    <w:rsid w:val="184ED522"/>
    <w:rsid w:val="18885860"/>
    <w:rsid w:val="188B0322"/>
    <w:rsid w:val="18A5A414"/>
    <w:rsid w:val="18A7D7B5"/>
    <w:rsid w:val="18ABF030"/>
    <w:rsid w:val="18AD14AA"/>
    <w:rsid w:val="18B7182D"/>
    <w:rsid w:val="18C7FF38"/>
    <w:rsid w:val="18D4F46B"/>
    <w:rsid w:val="18EA1FE4"/>
    <w:rsid w:val="19172D7E"/>
    <w:rsid w:val="19178781"/>
    <w:rsid w:val="192B8D63"/>
    <w:rsid w:val="1942FB7D"/>
    <w:rsid w:val="19592D9D"/>
    <w:rsid w:val="1963A8B6"/>
    <w:rsid w:val="1968798E"/>
    <w:rsid w:val="196C1586"/>
    <w:rsid w:val="19844B0F"/>
    <w:rsid w:val="19895C8D"/>
    <w:rsid w:val="198D450E"/>
    <w:rsid w:val="199FCAFD"/>
    <w:rsid w:val="19A10B71"/>
    <w:rsid w:val="19D46BD2"/>
    <w:rsid w:val="19DEC7A3"/>
    <w:rsid w:val="19E949C0"/>
    <w:rsid w:val="19EFFC4D"/>
    <w:rsid w:val="19FE32FF"/>
    <w:rsid w:val="1A04E70A"/>
    <w:rsid w:val="1A3DFFC3"/>
    <w:rsid w:val="1A632B6E"/>
    <w:rsid w:val="1A675A9E"/>
    <w:rsid w:val="1A7097DD"/>
    <w:rsid w:val="1A75306F"/>
    <w:rsid w:val="1A84953A"/>
    <w:rsid w:val="1AAF2120"/>
    <w:rsid w:val="1AC2BE66"/>
    <w:rsid w:val="1AD4C571"/>
    <w:rsid w:val="1ADAB8FC"/>
    <w:rsid w:val="1AE8BADA"/>
    <w:rsid w:val="1B0A179A"/>
    <w:rsid w:val="1B21D7F9"/>
    <w:rsid w:val="1B3C70C3"/>
    <w:rsid w:val="1B3C7854"/>
    <w:rsid w:val="1B63DFF8"/>
    <w:rsid w:val="1B68269A"/>
    <w:rsid w:val="1B6E3914"/>
    <w:rsid w:val="1BA23E9F"/>
    <w:rsid w:val="1BB46C65"/>
    <w:rsid w:val="1BE9CD91"/>
    <w:rsid w:val="1BF32C77"/>
    <w:rsid w:val="1BF992DA"/>
    <w:rsid w:val="1C262540"/>
    <w:rsid w:val="1C2E1ED8"/>
    <w:rsid w:val="1C7576E5"/>
    <w:rsid w:val="1C92E3D5"/>
    <w:rsid w:val="1C94D09E"/>
    <w:rsid w:val="1CCA5B03"/>
    <w:rsid w:val="1CE51EC3"/>
    <w:rsid w:val="1CF43AA1"/>
    <w:rsid w:val="1CFA7266"/>
    <w:rsid w:val="1CFBBC3D"/>
    <w:rsid w:val="1D2DAE7C"/>
    <w:rsid w:val="1D3F991B"/>
    <w:rsid w:val="1D4E8883"/>
    <w:rsid w:val="1D73BE69"/>
    <w:rsid w:val="1D7CDBAE"/>
    <w:rsid w:val="1D854F40"/>
    <w:rsid w:val="1DB6CC8F"/>
    <w:rsid w:val="1DC2F6A9"/>
    <w:rsid w:val="1DDD3094"/>
    <w:rsid w:val="1DE457D0"/>
    <w:rsid w:val="1DE6978C"/>
    <w:rsid w:val="1E02A28B"/>
    <w:rsid w:val="1E07F07A"/>
    <w:rsid w:val="1E0C7ACE"/>
    <w:rsid w:val="1E1107C4"/>
    <w:rsid w:val="1E18C531"/>
    <w:rsid w:val="1E301A9F"/>
    <w:rsid w:val="1E697AB1"/>
    <w:rsid w:val="1E807797"/>
    <w:rsid w:val="1E863524"/>
    <w:rsid w:val="1EB89FEC"/>
    <w:rsid w:val="1EBFFFE7"/>
    <w:rsid w:val="1EC28D1F"/>
    <w:rsid w:val="1EE0827E"/>
    <w:rsid w:val="1EE248C3"/>
    <w:rsid w:val="1EE47DFE"/>
    <w:rsid w:val="1EEDCF44"/>
    <w:rsid w:val="1EF08416"/>
    <w:rsid w:val="1EF11F80"/>
    <w:rsid w:val="1EF7C121"/>
    <w:rsid w:val="1EF7E2D3"/>
    <w:rsid w:val="1F2B0F5E"/>
    <w:rsid w:val="1F41D6A1"/>
    <w:rsid w:val="1F43CFDE"/>
    <w:rsid w:val="1F44B15E"/>
    <w:rsid w:val="1F5F2B35"/>
    <w:rsid w:val="1F6C652C"/>
    <w:rsid w:val="1F7E6F6F"/>
    <w:rsid w:val="1F80A46C"/>
    <w:rsid w:val="1FEC9DB8"/>
    <w:rsid w:val="1FEF1755"/>
    <w:rsid w:val="1FF993C1"/>
    <w:rsid w:val="200AE4EE"/>
    <w:rsid w:val="2020A632"/>
    <w:rsid w:val="20364F8E"/>
    <w:rsid w:val="204BF505"/>
    <w:rsid w:val="20617A00"/>
    <w:rsid w:val="207B6E9D"/>
    <w:rsid w:val="207F9E7A"/>
    <w:rsid w:val="208B17FB"/>
    <w:rsid w:val="20AA2878"/>
    <w:rsid w:val="20C76C98"/>
    <w:rsid w:val="20CAADC2"/>
    <w:rsid w:val="20CEB35C"/>
    <w:rsid w:val="20CEBF44"/>
    <w:rsid w:val="20DF9BA2"/>
    <w:rsid w:val="20FC6320"/>
    <w:rsid w:val="2130BA8E"/>
    <w:rsid w:val="213A1FF4"/>
    <w:rsid w:val="2171CD04"/>
    <w:rsid w:val="2172130E"/>
    <w:rsid w:val="218F776F"/>
    <w:rsid w:val="2195BEAC"/>
    <w:rsid w:val="219FF264"/>
    <w:rsid w:val="21A702BC"/>
    <w:rsid w:val="21B57363"/>
    <w:rsid w:val="21CF5580"/>
    <w:rsid w:val="21D326FF"/>
    <w:rsid w:val="21D76C0B"/>
    <w:rsid w:val="227335E8"/>
    <w:rsid w:val="229E38E0"/>
    <w:rsid w:val="22A0F869"/>
    <w:rsid w:val="22A69373"/>
    <w:rsid w:val="22C3DCA9"/>
    <w:rsid w:val="22E84F65"/>
    <w:rsid w:val="22EC05EA"/>
    <w:rsid w:val="22ECE7D4"/>
    <w:rsid w:val="22FC376F"/>
    <w:rsid w:val="230367C1"/>
    <w:rsid w:val="232E9A41"/>
    <w:rsid w:val="2339F930"/>
    <w:rsid w:val="235FF228"/>
    <w:rsid w:val="237228BD"/>
    <w:rsid w:val="2375B8F6"/>
    <w:rsid w:val="238E91A9"/>
    <w:rsid w:val="23A9CCBD"/>
    <w:rsid w:val="23DDB024"/>
    <w:rsid w:val="23FC6016"/>
    <w:rsid w:val="24094977"/>
    <w:rsid w:val="240C7E87"/>
    <w:rsid w:val="24101243"/>
    <w:rsid w:val="2429434A"/>
    <w:rsid w:val="242E3A69"/>
    <w:rsid w:val="2443ABC8"/>
    <w:rsid w:val="244C8B4F"/>
    <w:rsid w:val="244E98C7"/>
    <w:rsid w:val="2485618C"/>
    <w:rsid w:val="249674BB"/>
    <w:rsid w:val="249DB26E"/>
    <w:rsid w:val="249F38BD"/>
    <w:rsid w:val="24AA8DA5"/>
    <w:rsid w:val="24B23565"/>
    <w:rsid w:val="24BB30BC"/>
    <w:rsid w:val="24C1EDDC"/>
    <w:rsid w:val="24EE1CF7"/>
    <w:rsid w:val="250D9D2D"/>
    <w:rsid w:val="2512BAC0"/>
    <w:rsid w:val="25202312"/>
    <w:rsid w:val="2522975F"/>
    <w:rsid w:val="253FB059"/>
    <w:rsid w:val="25406214"/>
    <w:rsid w:val="25470686"/>
    <w:rsid w:val="2557B58F"/>
    <w:rsid w:val="2558D8B9"/>
    <w:rsid w:val="255BF11B"/>
    <w:rsid w:val="25762FFE"/>
    <w:rsid w:val="25CDDABE"/>
    <w:rsid w:val="25D4FDDD"/>
    <w:rsid w:val="25E2E239"/>
    <w:rsid w:val="25EB8A65"/>
    <w:rsid w:val="262354DD"/>
    <w:rsid w:val="26255062"/>
    <w:rsid w:val="262CCD09"/>
    <w:rsid w:val="26413630"/>
    <w:rsid w:val="264DDA1B"/>
    <w:rsid w:val="264E4A7C"/>
    <w:rsid w:val="265EFB3A"/>
    <w:rsid w:val="26856B02"/>
    <w:rsid w:val="2696311F"/>
    <w:rsid w:val="269CD317"/>
    <w:rsid w:val="26DF3194"/>
    <w:rsid w:val="26E79004"/>
    <w:rsid w:val="26E80A81"/>
    <w:rsid w:val="26FE9C4D"/>
    <w:rsid w:val="27013617"/>
    <w:rsid w:val="274B2ACC"/>
    <w:rsid w:val="274ED8FC"/>
    <w:rsid w:val="274F4BDD"/>
    <w:rsid w:val="27630F46"/>
    <w:rsid w:val="2769DF94"/>
    <w:rsid w:val="277149E0"/>
    <w:rsid w:val="27742403"/>
    <w:rsid w:val="2776F5E6"/>
    <w:rsid w:val="278AB700"/>
    <w:rsid w:val="278BAB98"/>
    <w:rsid w:val="2793359A"/>
    <w:rsid w:val="27A096AF"/>
    <w:rsid w:val="27BE9057"/>
    <w:rsid w:val="27C27516"/>
    <w:rsid w:val="27E0AB3B"/>
    <w:rsid w:val="27F152C1"/>
    <w:rsid w:val="27F7800A"/>
    <w:rsid w:val="27F899D9"/>
    <w:rsid w:val="27FB29C9"/>
    <w:rsid w:val="2812E51C"/>
    <w:rsid w:val="281501E4"/>
    <w:rsid w:val="281DBC6C"/>
    <w:rsid w:val="283CE2D9"/>
    <w:rsid w:val="28872251"/>
    <w:rsid w:val="288F45D4"/>
    <w:rsid w:val="2895BB9F"/>
    <w:rsid w:val="28BE8070"/>
    <w:rsid w:val="28C97E98"/>
    <w:rsid w:val="28D1F157"/>
    <w:rsid w:val="28DC1A00"/>
    <w:rsid w:val="28EF7B93"/>
    <w:rsid w:val="28F9F78F"/>
    <w:rsid w:val="290C5536"/>
    <w:rsid w:val="292858B2"/>
    <w:rsid w:val="295E3688"/>
    <w:rsid w:val="297145FD"/>
    <w:rsid w:val="298BCCD8"/>
    <w:rsid w:val="299C3EC2"/>
    <w:rsid w:val="29B8F1FE"/>
    <w:rsid w:val="29D57D03"/>
    <w:rsid w:val="29E9DE11"/>
    <w:rsid w:val="29EF3013"/>
    <w:rsid w:val="2A03039E"/>
    <w:rsid w:val="2A37DE7D"/>
    <w:rsid w:val="2A3AD675"/>
    <w:rsid w:val="2A496541"/>
    <w:rsid w:val="2A4D701C"/>
    <w:rsid w:val="2A51FD65"/>
    <w:rsid w:val="2A6D2022"/>
    <w:rsid w:val="2AB28F28"/>
    <w:rsid w:val="2AD865EE"/>
    <w:rsid w:val="2ADC5EAB"/>
    <w:rsid w:val="2B1A4034"/>
    <w:rsid w:val="2B1E096A"/>
    <w:rsid w:val="2B39A9C6"/>
    <w:rsid w:val="2B3C59AF"/>
    <w:rsid w:val="2B4B988F"/>
    <w:rsid w:val="2B51F2C4"/>
    <w:rsid w:val="2B612892"/>
    <w:rsid w:val="2B72072B"/>
    <w:rsid w:val="2B77931E"/>
    <w:rsid w:val="2BA0806D"/>
    <w:rsid w:val="2BA0A444"/>
    <w:rsid w:val="2BAADE7F"/>
    <w:rsid w:val="2BB60658"/>
    <w:rsid w:val="2BCB58BF"/>
    <w:rsid w:val="2BE92FAD"/>
    <w:rsid w:val="2BF0A112"/>
    <w:rsid w:val="2BFADFEA"/>
    <w:rsid w:val="2C14669E"/>
    <w:rsid w:val="2C25B78E"/>
    <w:rsid w:val="2C3CDD6E"/>
    <w:rsid w:val="2C4B41D3"/>
    <w:rsid w:val="2C8896EF"/>
    <w:rsid w:val="2C8D2D91"/>
    <w:rsid w:val="2C954C6B"/>
    <w:rsid w:val="2CA3B156"/>
    <w:rsid w:val="2CAD3FF8"/>
    <w:rsid w:val="2CD9350D"/>
    <w:rsid w:val="2CE6F083"/>
    <w:rsid w:val="2CF8586F"/>
    <w:rsid w:val="2CFC55B2"/>
    <w:rsid w:val="2D022B5A"/>
    <w:rsid w:val="2D21E861"/>
    <w:rsid w:val="2D31FE6D"/>
    <w:rsid w:val="2D347B03"/>
    <w:rsid w:val="2D52CD16"/>
    <w:rsid w:val="2D90855B"/>
    <w:rsid w:val="2DA1EF34"/>
    <w:rsid w:val="2DB49E32"/>
    <w:rsid w:val="2DC67581"/>
    <w:rsid w:val="2DD8067E"/>
    <w:rsid w:val="2DF59A06"/>
    <w:rsid w:val="2E30122C"/>
    <w:rsid w:val="2E317A2F"/>
    <w:rsid w:val="2E318B73"/>
    <w:rsid w:val="2E355CE4"/>
    <w:rsid w:val="2E52C704"/>
    <w:rsid w:val="2EA07591"/>
    <w:rsid w:val="2ECF32B9"/>
    <w:rsid w:val="2EEB2D21"/>
    <w:rsid w:val="2EFDD380"/>
    <w:rsid w:val="2F1906BD"/>
    <w:rsid w:val="2F34E1C9"/>
    <w:rsid w:val="2F492484"/>
    <w:rsid w:val="2F5E84CE"/>
    <w:rsid w:val="2F6A676F"/>
    <w:rsid w:val="2F8350B2"/>
    <w:rsid w:val="2F8FBDC1"/>
    <w:rsid w:val="2FB4289E"/>
    <w:rsid w:val="2FB49263"/>
    <w:rsid w:val="2FB5848D"/>
    <w:rsid w:val="2FD00F64"/>
    <w:rsid w:val="2FEC18C3"/>
    <w:rsid w:val="2FF09891"/>
    <w:rsid w:val="2FFAEBA3"/>
    <w:rsid w:val="300ED220"/>
    <w:rsid w:val="301B463D"/>
    <w:rsid w:val="30228A53"/>
    <w:rsid w:val="30275282"/>
    <w:rsid w:val="30490C89"/>
    <w:rsid w:val="30495FE1"/>
    <w:rsid w:val="304AFA0A"/>
    <w:rsid w:val="3053B3D3"/>
    <w:rsid w:val="3063EF52"/>
    <w:rsid w:val="306C98EE"/>
    <w:rsid w:val="308838E6"/>
    <w:rsid w:val="3091457F"/>
    <w:rsid w:val="3093E589"/>
    <w:rsid w:val="30AC29AF"/>
    <w:rsid w:val="30C9D16F"/>
    <w:rsid w:val="30D9DD35"/>
    <w:rsid w:val="3104D6FE"/>
    <w:rsid w:val="312003A9"/>
    <w:rsid w:val="312E0494"/>
    <w:rsid w:val="3137A0C0"/>
    <w:rsid w:val="31E28128"/>
    <w:rsid w:val="31EE7BF2"/>
    <w:rsid w:val="31F25815"/>
    <w:rsid w:val="31F74E3D"/>
    <w:rsid w:val="320B01D1"/>
    <w:rsid w:val="3240EEDA"/>
    <w:rsid w:val="3245B19F"/>
    <w:rsid w:val="32499E21"/>
    <w:rsid w:val="326C9A2E"/>
    <w:rsid w:val="327CE1E1"/>
    <w:rsid w:val="329A03A3"/>
    <w:rsid w:val="329EDE14"/>
    <w:rsid w:val="32A7A7C1"/>
    <w:rsid w:val="32AFCA39"/>
    <w:rsid w:val="32B1B68A"/>
    <w:rsid w:val="32DC7887"/>
    <w:rsid w:val="32DF282E"/>
    <w:rsid w:val="32E9D4AD"/>
    <w:rsid w:val="32F946B3"/>
    <w:rsid w:val="330C325E"/>
    <w:rsid w:val="3325D47C"/>
    <w:rsid w:val="333B7D95"/>
    <w:rsid w:val="333E72E7"/>
    <w:rsid w:val="33415C96"/>
    <w:rsid w:val="3346E255"/>
    <w:rsid w:val="33608DF2"/>
    <w:rsid w:val="33654DC3"/>
    <w:rsid w:val="3378919F"/>
    <w:rsid w:val="339663DD"/>
    <w:rsid w:val="339F7CDB"/>
    <w:rsid w:val="33C7D1B3"/>
    <w:rsid w:val="33EBDE3F"/>
    <w:rsid w:val="33F3A749"/>
    <w:rsid w:val="343276F5"/>
    <w:rsid w:val="343405CF"/>
    <w:rsid w:val="343F4650"/>
    <w:rsid w:val="34457C10"/>
    <w:rsid w:val="344BA05D"/>
    <w:rsid w:val="3451A327"/>
    <w:rsid w:val="347F944C"/>
    <w:rsid w:val="347FFC52"/>
    <w:rsid w:val="3491AD5B"/>
    <w:rsid w:val="34CF70D7"/>
    <w:rsid w:val="34DB65EE"/>
    <w:rsid w:val="34DE08A8"/>
    <w:rsid w:val="34F36A84"/>
    <w:rsid w:val="350658A6"/>
    <w:rsid w:val="3511EA44"/>
    <w:rsid w:val="3517B8AE"/>
    <w:rsid w:val="351DDBF2"/>
    <w:rsid w:val="3527AE0D"/>
    <w:rsid w:val="3536F2CF"/>
    <w:rsid w:val="353A5169"/>
    <w:rsid w:val="3545E2C3"/>
    <w:rsid w:val="35491EB4"/>
    <w:rsid w:val="355B2DE5"/>
    <w:rsid w:val="3573BDB6"/>
    <w:rsid w:val="359A3423"/>
    <w:rsid w:val="35AD6402"/>
    <w:rsid w:val="35B2F37A"/>
    <w:rsid w:val="35BD7BA8"/>
    <w:rsid w:val="35DA8996"/>
    <w:rsid w:val="35FDDFFF"/>
    <w:rsid w:val="360C4E25"/>
    <w:rsid w:val="36198550"/>
    <w:rsid w:val="362FFDB7"/>
    <w:rsid w:val="36871423"/>
    <w:rsid w:val="36A40277"/>
    <w:rsid w:val="36C3FF9C"/>
    <w:rsid w:val="36DAE092"/>
    <w:rsid w:val="370035B6"/>
    <w:rsid w:val="37233697"/>
    <w:rsid w:val="3736B9EE"/>
    <w:rsid w:val="37A886C3"/>
    <w:rsid w:val="37B17EE0"/>
    <w:rsid w:val="37C77D07"/>
    <w:rsid w:val="37E1E161"/>
    <w:rsid w:val="37E9D85E"/>
    <w:rsid w:val="37F31E90"/>
    <w:rsid w:val="3804DE13"/>
    <w:rsid w:val="3809BB5B"/>
    <w:rsid w:val="3809FCA0"/>
    <w:rsid w:val="380DF335"/>
    <w:rsid w:val="3811C5FA"/>
    <w:rsid w:val="3819791B"/>
    <w:rsid w:val="38331229"/>
    <w:rsid w:val="383D6F5F"/>
    <w:rsid w:val="3841B7A2"/>
    <w:rsid w:val="385B3A2A"/>
    <w:rsid w:val="385C3E93"/>
    <w:rsid w:val="388778C6"/>
    <w:rsid w:val="388A791C"/>
    <w:rsid w:val="3896F071"/>
    <w:rsid w:val="389FA6E4"/>
    <w:rsid w:val="38A6C455"/>
    <w:rsid w:val="38A71F88"/>
    <w:rsid w:val="38BB752E"/>
    <w:rsid w:val="38C4A067"/>
    <w:rsid w:val="38C6B8A1"/>
    <w:rsid w:val="38CF3943"/>
    <w:rsid w:val="38DD0D26"/>
    <w:rsid w:val="38DDD532"/>
    <w:rsid w:val="38E8FD09"/>
    <w:rsid w:val="38EF61E5"/>
    <w:rsid w:val="38EFE7C0"/>
    <w:rsid w:val="3915CD88"/>
    <w:rsid w:val="393EC315"/>
    <w:rsid w:val="394B8F95"/>
    <w:rsid w:val="3975BB56"/>
    <w:rsid w:val="398632AC"/>
    <w:rsid w:val="39BE7FC2"/>
    <w:rsid w:val="39D77EFC"/>
    <w:rsid w:val="39EE8B29"/>
    <w:rsid w:val="39FA20C5"/>
    <w:rsid w:val="3A0E86FC"/>
    <w:rsid w:val="3A0F942E"/>
    <w:rsid w:val="3A4AE8D3"/>
    <w:rsid w:val="3A683821"/>
    <w:rsid w:val="3A8950F2"/>
    <w:rsid w:val="3A9333BE"/>
    <w:rsid w:val="3AA15F31"/>
    <w:rsid w:val="3AA5A7CC"/>
    <w:rsid w:val="3AC90F16"/>
    <w:rsid w:val="3ACADCB9"/>
    <w:rsid w:val="3ACBCE58"/>
    <w:rsid w:val="3AD96F4C"/>
    <w:rsid w:val="3AF3C92C"/>
    <w:rsid w:val="3AFD75D9"/>
    <w:rsid w:val="3B1587E4"/>
    <w:rsid w:val="3B244CF8"/>
    <w:rsid w:val="3B3D3FB4"/>
    <w:rsid w:val="3B55385F"/>
    <w:rsid w:val="3B5CF19C"/>
    <w:rsid w:val="3B7AE25A"/>
    <w:rsid w:val="3B7D1B30"/>
    <w:rsid w:val="3B7D51BA"/>
    <w:rsid w:val="3B83710A"/>
    <w:rsid w:val="3B9A6FF4"/>
    <w:rsid w:val="3B9F8B74"/>
    <w:rsid w:val="3BB31ED1"/>
    <w:rsid w:val="3BC43DCF"/>
    <w:rsid w:val="3BDD0138"/>
    <w:rsid w:val="3BEBA26E"/>
    <w:rsid w:val="3C0981E7"/>
    <w:rsid w:val="3C0A8702"/>
    <w:rsid w:val="3C1A6AC9"/>
    <w:rsid w:val="3C208AE9"/>
    <w:rsid w:val="3C2D7AB5"/>
    <w:rsid w:val="3C2DFFF1"/>
    <w:rsid w:val="3C4D3E2D"/>
    <w:rsid w:val="3C4D869E"/>
    <w:rsid w:val="3C6ECAA9"/>
    <w:rsid w:val="3C7BCBE9"/>
    <w:rsid w:val="3C8581B9"/>
    <w:rsid w:val="3C8E5F4B"/>
    <w:rsid w:val="3CA4B5DF"/>
    <w:rsid w:val="3CA6B146"/>
    <w:rsid w:val="3CDDC41C"/>
    <w:rsid w:val="3CF659D5"/>
    <w:rsid w:val="3CF71B02"/>
    <w:rsid w:val="3D0111A0"/>
    <w:rsid w:val="3D3476B9"/>
    <w:rsid w:val="3D38B50C"/>
    <w:rsid w:val="3D3CC863"/>
    <w:rsid w:val="3D6886AC"/>
    <w:rsid w:val="3D7454B7"/>
    <w:rsid w:val="3D89E37E"/>
    <w:rsid w:val="3D8FFE7C"/>
    <w:rsid w:val="3DA0E73C"/>
    <w:rsid w:val="3DA8B22A"/>
    <w:rsid w:val="3DD94C39"/>
    <w:rsid w:val="3DDBB232"/>
    <w:rsid w:val="3DDE3C9A"/>
    <w:rsid w:val="3DF16DBF"/>
    <w:rsid w:val="3E191B43"/>
    <w:rsid w:val="3E1A5E4D"/>
    <w:rsid w:val="3E3BBCA2"/>
    <w:rsid w:val="3E3C8447"/>
    <w:rsid w:val="3E559730"/>
    <w:rsid w:val="3E608E9F"/>
    <w:rsid w:val="3E69A5CC"/>
    <w:rsid w:val="3E8E508E"/>
    <w:rsid w:val="3EAAE37E"/>
    <w:rsid w:val="3EB0A6CD"/>
    <w:rsid w:val="3EE4A0CD"/>
    <w:rsid w:val="3EF311DF"/>
    <w:rsid w:val="3EF58DB3"/>
    <w:rsid w:val="3F005B84"/>
    <w:rsid w:val="3F1BD2C1"/>
    <w:rsid w:val="3F2C3D69"/>
    <w:rsid w:val="3F3A7E65"/>
    <w:rsid w:val="3F48FC13"/>
    <w:rsid w:val="3F6612E0"/>
    <w:rsid w:val="3F733090"/>
    <w:rsid w:val="3F8744C0"/>
    <w:rsid w:val="3F943478"/>
    <w:rsid w:val="3FADFE73"/>
    <w:rsid w:val="3FB5C3F2"/>
    <w:rsid w:val="3FBD48E3"/>
    <w:rsid w:val="3FC3D63B"/>
    <w:rsid w:val="3FD6A973"/>
    <w:rsid w:val="3FE3FC79"/>
    <w:rsid w:val="3FED2413"/>
    <w:rsid w:val="3FF2FB10"/>
    <w:rsid w:val="3FFB5CB7"/>
    <w:rsid w:val="4015D443"/>
    <w:rsid w:val="4018C1F7"/>
    <w:rsid w:val="401AFD9F"/>
    <w:rsid w:val="4030D53B"/>
    <w:rsid w:val="407E39FD"/>
    <w:rsid w:val="407F16E2"/>
    <w:rsid w:val="40A80C6A"/>
    <w:rsid w:val="40B4A97A"/>
    <w:rsid w:val="40B66DAE"/>
    <w:rsid w:val="40B97013"/>
    <w:rsid w:val="40BE872D"/>
    <w:rsid w:val="40C8EF4D"/>
    <w:rsid w:val="411CBBD3"/>
    <w:rsid w:val="412B590C"/>
    <w:rsid w:val="412BDD8B"/>
    <w:rsid w:val="412EFBA2"/>
    <w:rsid w:val="41307115"/>
    <w:rsid w:val="4175F710"/>
    <w:rsid w:val="4180F158"/>
    <w:rsid w:val="41A0E6B8"/>
    <w:rsid w:val="41AC2036"/>
    <w:rsid w:val="41B230B0"/>
    <w:rsid w:val="41B8E38E"/>
    <w:rsid w:val="41CE03CF"/>
    <w:rsid w:val="41E94959"/>
    <w:rsid w:val="41FE0EDD"/>
    <w:rsid w:val="42137103"/>
    <w:rsid w:val="4246C99C"/>
    <w:rsid w:val="424B7534"/>
    <w:rsid w:val="4266CBDF"/>
    <w:rsid w:val="427E36E4"/>
    <w:rsid w:val="428661D4"/>
    <w:rsid w:val="4292B960"/>
    <w:rsid w:val="42944BC7"/>
    <w:rsid w:val="42982321"/>
    <w:rsid w:val="42A758C9"/>
    <w:rsid w:val="42AD74EB"/>
    <w:rsid w:val="42B727F4"/>
    <w:rsid w:val="42ECC2E6"/>
    <w:rsid w:val="42F81F76"/>
    <w:rsid w:val="42F9D668"/>
    <w:rsid w:val="43061C71"/>
    <w:rsid w:val="431B90E9"/>
    <w:rsid w:val="432CCF93"/>
    <w:rsid w:val="4340DC63"/>
    <w:rsid w:val="43666392"/>
    <w:rsid w:val="436C5F92"/>
    <w:rsid w:val="43748099"/>
    <w:rsid w:val="438BA718"/>
    <w:rsid w:val="43A8E390"/>
    <w:rsid w:val="43B55BB4"/>
    <w:rsid w:val="43C11672"/>
    <w:rsid w:val="43D89A75"/>
    <w:rsid w:val="43DC5F55"/>
    <w:rsid w:val="43E2C577"/>
    <w:rsid w:val="43E4FC7F"/>
    <w:rsid w:val="4406E44C"/>
    <w:rsid w:val="44115270"/>
    <w:rsid w:val="4411D03A"/>
    <w:rsid w:val="44131D4E"/>
    <w:rsid w:val="44272864"/>
    <w:rsid w:val="443CF511"/>
    <w:rsid w:val="444157C6"/>
    <w:rsid w:val="446BA454"/>
    <w:rsid w:val="4471A8CC"/>
    <w:rsid w:val="448B2463"/>
    <w:rsid w:val="448C234F"/>
    <w:rsid w:val="44ACD00D"/>
    <w:rsid w:val="44B1A2D1"/>
    <w:rsid w:val="44B6DA51"/>
    <w:rsid w:val="44BA20D9"/>
    <w:rsid w:val="44BB524B"/>
    <w:rsid w:val="44BC8E89"/>
    <w:rsid w:val="44C4E258"/>
    <w:rsid w:val="44D1006D"/>
    <w:rsid w:val="44D76573"/>
    <w:rsid w:val="44D8BD86"/>
    <w:rsid w:val="44ED9D36"/>
    <w:rsid w:val="44F1912D"/>
    <w:rsid w:val="451E8927"/>
    <w:rsid w:val="4561DB14"/>
    <w:rsid w:val="456E6E02"/>
    <w:rsid w:val="457A1109"/>
    <w:rsid w:val="457D7273"/>
    <w:rsid w:val="457E703B"/>
    <w:rsid w:val="45833CA4"/>
    <w:rsid w:val="45A3F79A"/>
    <w:rsid w:val="45C3BD5A"/>
    <w:rsid w:val="45C50861"/>
    <w:rsid w:val="45C981B0"/>
    <w:rsid w:val="45DEEFE1"/>
    <w:rsid w:val="45FD4718"/>
    <w:rsid w:val="45FE2287"/>
    <w:rsid w:val="462C2985"/>
    <w:rsid w:val="4634F862"/>
    <w:rsid w:val="46592F64"/>
    <w:rsid w:val="4689B83E"/>
    <w:rsid w:val="468D7785"/>
    <w:rsid w:val="468F1DA0"/>
    <w:rsid w:val="46A712DD"/>
    <w:rsid w:val="46C58EB1"/>
    <w:rsid w:val="46CCC411"/>
    <w:rsid w:val="470C327D"/>
    <w:rsid w:val="4744B760"/>
    <w:rsid w:val="474CB48F"/>
    <w:rsid w:val="4756DF94"/>
    <w:rsid w:val="47645794"/>
    <w:rsid w:val="4765E29F"/>
    <w:rsid w:val="47838A34"/>
    <w:rsid w:val="47B6779F"/>
    <w:rsid w:val="47BC43AE"/>
    <w:rsid w:val="47CC3792"/>
    <w:rsid w:val="47D6FBD1"/>
    <w:rsid w:val="47D8E8DE"/>
    <w:rsid w:val="47E6AB03"/>
    <w:rsid w:val="47EA251C"/>
    <w:rsid w:val="47EE26B7"/>
    <w:rsid w:val="47FDE752"/>
    <w:rsid w:val="48313F88"/>
    <w:rsid w:val="48485820"/>
    <w:rsid w:val="48525DF4"/>
    <w:rsid w:val="4882398A"/>
    <w:rsid w:val="48A0E23D"/>
    <w:rsid w:val="48AF65AC"/>
    <w:rsid w:val="48B698E6"/>
    <w:rsid w:val="48BE3DF6"/>
    <w:rsid w:val="48C00080"/>
    <w:rsid w:val="48CA518D"/>
    <w:rsid w:val="48E8B065"/>
    <w:rsid w:val="48EB1D3F"/>
    <w:rsid w:val="48F6DC74"/>
    <w:rsid w:val="48FCB6E8"/>
    <w:rsid w:val="48FE81F9"/>
    <w:rsid w:val="490944B2"/>
    <w:rsid w:val="4919BA94"/>
    <w:rsid w:val="49464F7C"/>
    <w:rsid w:val="494F476E"/>
    <w:rsid w:val="49528E80"/>
    <w:rsid w:val="4957985E"/>
    <w:rsid w:val="495E5197"/>
    <w:rsid w:val="4964F5A1"/>
    <w:rsid w:val="498DBFBC"/>
    <w:rsid w:val="4993C47F"/>
    <w:rsid w:val="49953DF6"/>
    <w:rsid w:val="49971B92"/>
    <w:rsid w:val="49C22080"/>
    <w:rsid w:val="49C894E2"/>
    <w:rsid w:val="49CB71E0"/>
    <w:rsid w:val="49D5BBA1"/>
    <w:rsid w:val="49D5D3A1"/>
    <w:rsid w:val="49DD9FCF"/>
    <w:rsid w:val="49F23925"/>
    <w:rsid w:val="4A0A9E92"/>
    <w:rsid w:val="4A210EDA"/>
    <w:rsid w:val="4A36EB69"/>
    <w:rsid w:val="4A485D2E"/>
    <w:rsid w:val="4A5095FC"/>
    <w:rsid w:val="4A8C33B1"/>
    <w:rsid w:val="4A9D856E"/>
    <w:rsid w:val="4AA81D85"/>
    <w:rsid w:val="4AB2CCDA"/>
    <w:rsid w:val="4AD1473E"/>
    <w:rsid w:val="4AE0C207"/>
    <w:rsid w:val="4AE11303"/>
    <w:rsid w:val="4AE254AB"/>
    <w:rsid w:val="4AE400CD"/>
    <w:rsid w:val="4AED0B79"/>
    <w:rsid w:val="4B07E013"/>
    <w:rsid w:val="4B1A325E"/>
    <w:rsid w:val="4B27BD8E"/>
    <w:rsid w:val="4B3466CA"/>
    <w:rsid w:val="4B49F0C7"/>
    <w:rsid w:val="4B55034A"/>
    <w:rsid w:val="4B5B80C2"/>
    <w:rsid w:val="4B64860E"/>
    <w:rsid w:val="4BA07B98"/>
    <w:rsid w:val="4BA16745"/>
    <w:rsid w:val="4BAA5068"/>
    <w:rsid w:val="4BB61D67"/>
    <w:rsid w:val="4BBFDA6C"/>
    <w:rsid w:val="4BF22556"/>
    <w:rsid w:val="4C11F909"/>
    <w:rsid w:val="4C1FE6BA"/>
    <w:rsid w:val="4C28B6E4"/>
    <w:rsid w:val="4C321E53"/>
    <w:rsid w:val="4C5C372E"/>
    <w:rsid w:val="4C8719EE"/>
    <w:rsid w:val="4C93FE2E"/>
    <w:rsid w:val="4C985AA7"/>
    <w:rsid w:val="4CCA8933"/>
    <w:rsid w:val="4CEBA903"/>
    <w:rsid w:val="4CF0477B"/>
    <w:rsid w:val="4D067ECC"/>
    <w:rsid w:val="4D188EF6"/>
    <w:rsid w:val="4D29232B"/>
    <w:rsid w:val="4D450743"/>
    <w:rsid w:val="4D64E3AD"/>
    <w:rsid w:val="4D77594A"/>
    <w:rsid w:val="4D81183C"/>
    <w:rsid w:val="4D902082"/>
    <w:rsid w:val="4DA6B18F"/>
    <w:rsid w:val="4DB5C90F"/>
    <w:rsid w:val="4DBD4975"/>
    <w:rsid w:val="4DC4983F"/>
    <w:rsid w:val="4DF946B4"/>
    <w:rsid w:val="4E0F6576"/>
    <w:rsid w:val="4E189025"/>
    <w:rsid w:val="4E2DB644"/>
    <w:rsid w:val="4E3955BA"/>
    <w:rsid w:val="4E3B79A1"/>
    <w:rsid w:val="4E3C9D6C"/>
    <w:rsid w:val="4E5C9815"/>
    <w:rsid w:val="4E5F74EF"/>
    <w:rsid w:val="4E619ED9"/>
    <w:rsid w:val="4E62CC7D"/>
    <w:rsid w:val="4E7D14D1"/>
    <w:rsid w:val="4E7F873D"/>
    <w:rsid w:val="4E8EC0ED"/>
    <w:rsid w:val="4EC41504"/>
    <w:rsid w:val="4F09ACEF"/>
    <w:rsid w:val="4F139FC6"/>
    <w:rsid w:val="4F1C4DE2"/>
    <w:rsid w:val="4F21417E"/>
    <w:rsid w:val="4F27869D"/>
    <w:rsid w:val="4F3B16AA"/>
    <w:rsid w:val="4F3F58E8"/>
    <w:rsid w:val="4F450539"/>
    <w:rsid w:val="4F48E596"/>
    <w:rsid w:val="4F5352AD"/>
    <w:rsid w:val="4F562068"/>
    <w:rsid w:val="4F570AD4"/>
    <w:rsid w:val="4F6A50A4"/>
    <w:rsid w:val="4F76CB94"/>
    <w:rsid w:val="4F7A9F06"/>
    <w:rsid w:val="4FBF0BAD"/>
    <w:rsid w:val="4FD04B4A"/>
    <w:rsid w:val="4FDC302A"/>
    <w:rsid w:val="4FE81ABF"/>
    <w:rsid w:val="502D7942"/>
    <w:rsid w:val="5049FD29"/>
    <w:rsid w:val="504F3F35"/>
    <w:rsid w:val="50518967"/>
    <w:rsid w:val="505576A2"/>
    <w:rsid w:val="5062874D"/>
    <w:rsid w:val="50745823"/>
    <w:rsid w:val="5093CFDA"/>
    <w:rsid w:val="509E498D"/>
    <w:rsid w:val="50B099FD"/>
    <w:rsid w:val="50C066A1"/>
    <w:rsid w:val="50CDACA3"/>
    <w:rsid w:val="50E0894A"/>
    <w:rsid w:val="50E0D250"/>
    <w:rsid w:val="50F11C08"/>
    <w:rsid w:val="50F39694"/>
    <w:rsid w:val="5115F28A"/>
    <w:rsid w:val="512352D0"/>
    <w:rsid w:val="51319E41"/>
    <w:rsid w:val="5132A80C"/>
    <w:rsid w:val="5132BAF8"/>
    <w:rsid w:val="513FB329"/>
    <w:rsid w:val="517EF617"/>
    <w:rsid w:val="5183A13A"/>
    <w:rsid w:val="5186D469"/>
    <w:rsid w:val="5193CC6C"/>
    <w:rsid w:val="5197FB3F"/>
    <w:rsid w:val="5198331B"/>
    <w:rsid w:val="5199D5F2"/>
    <w:rsid w:val="51A5F07B"/>
    <w:rsid w:val="51D3B8F2"/>
    <w:rsid w:val="51D7F419"/>
    <w:rsid w:val="51D8ABDF"/>
    <w:rsid w:val="51E12B43"/>
    <w:rsid w:val="5200A9F7"/>
    <w:rsid w:val="52134807"/>
    <w:rsid w:val="522CF7AF"/>
    <w:rsid w:val="5234E630"/>
    <w:rsid w:val="524275CD"/>
    <w:rsid w:val="524296A1"/>
    <w:rsid w:val="5242FE14"/>
    <w:rsid w:val="525FFC57"/>
    <w:rsid w:val="52610AEB"/>
    <w:rsid w:val="5262962C"/>
    <w:rsid w:val="52B939E9"/>
    <w:rsid w:val="52C0B654"/>
    <w:rsid w:val="52C6FD2E"/>
    <w:rsid w:val="52CED800"/>
    <w:rsid w:val="52E46A20"/>
    <w:rsid w:val="52ED98AB"/>
    <w:rsid w:val="5310EFF8"/>
    <w:rsid w:val="5328ADFC"/>
    <w:rsid w:val="5333A8D0"/>
    <w:rsid w:val="53386285"/>
    <w:rsid w:val="53394FCD"/>
    <w:rsid w:val="53448FB0"/>
    <w:rsid w:val="534D60DE"/>
    <w:rsid w:val="53671E6D"/>
    <w:rsid w:val="536CC36B"/>
    <w:rsid w:val="536D3FFD"/>
    <w:rsid w:val="537947E2"/>
    <w:rsid w:val="53AD31DC"/>
    <w:rsid w:val="53C4B9F4"/>
    <w:rsid w:val="53CA4D9D"/>
    <w:rsid w:val="53DD5843"/>
    <w:rsid w:val="53E9BD4D"/>
    <w:rsid w:val="540A9007"/>
    <w:rsid w:val="54184BB7"/>
    <w:rsid w:val="541F7DEC"/>
    <w:rsid w:val="54244582"/>
    <w:rsid w:val="54369F1E"/>
    <w:rsid w:val="545C3F9A"/>
    <w:rsid w:val="5476DABF"/>
    <w:rsid w:val="54A426E6"/>
    <w:rsid w:val="54B27C93"/>
    <w:rsid w:val="54B59934"/>
    <w:rsid w:val="54B72E8F"/>
    <w:rsid w:val="54DD2998"/>
    <w:rsid w:val="5500D8F7"/>
    <w:rsid w:val="55075154"/>
    <w:rsid w:val="5515FEB0"/>
    <w:rsid w:val="5536D925"/>
    <w:rsid w:val="554DDFD7"/>
    <w:rsid w:val="558FAC96"/>
    <w:rsid w:val="559907D3"/>
    <w:rsid w:val="559AFC1F"/>
    <w:rsid w:val="55B6FD96"/>
    <w:rsid w:val="55D03057"/>
    <w:rsid w:val="55F88BAF"/>
    <w:rsid w:val="55FD37C8"/>
    <w:rsid w:val="562EEFBB"/>
    <w:rsid w:val="563B9E5D"/>
    <w:rsid w:val="563CB965"/>
    <w:rsid w:val="56411C7A"/>
    <w:rsid w:val="564F30F8"/>
    <w:rsid w:val="5656B8E3"/>
    <w:rsid w:val="565EFA2F"/>
    <w:rsid w:val="56735C82"/>
    <w:rsid w:val="56AB1225"/>
    <w:rsid w:val="56D6806B"/>
    <w:rsid w:val="5713668B"/>
    <w:rsid w:val="57158C03"/>
    <w:rsid w:val="57166EFD"/>
    <w:rsid w:val="572188D0"/>
    <w:rsid w:val="57648D57"/>
    <w:rsid w:val="57C1D5FF"/>
    <w:rsid w:val="57DDB4FD"/>
    <w:rsid w:val="5828510C"/>
    <w:rsid w:val="5846E70E"/>
    <w:rsid w:val="584940BA"/>
    <w:rsid w:val="584B72DE"/>
    <w:rsid w:val="5855E800"/>
    <w:rsid w:val="58692319"/>
    <w:rsid w:val="5869DCD1"/>
    <w:rsid w:val="5871C6E5"/>
    <w:rsid w:val="587B4035"/>
    <w:rsid w:val="5886BE55"/>
    <w:rsid w:val="58879973"/>
    <w:rsid w:val="58986644"/>
    <w:rsid w:val="589E284A"/>
    <w:rsid w:val="58D904F6"/>
    <w:rsid w:val="58FA9CEC"/>
    <w:rsid w:val="59123A45"/>
    <w:rsid w:val="5914848B"/>
    <w:rsid w:val="5914D3C7"/>
    <w:rsid w:val="592F4A0D"/>
    <w:rsid w:val="5938391E"/>
    <w:rsid w:val="593F4B8D"/>
    <w:rsid w:val="59454D80"/>
    <w:rsid w:val="594FB733"/>
    <w:rsid w:val="59554563"/>
    <w:rsid w:val="595A6659"/>
    <w:rsid w:val="59C19AF8"/>
    <w:rsid w:val="59D3206D"/>
    <w:rsid w:val="59E19C3C"/>
    <w:rsid w:val="59ECE581"/>
    <w:rsid w:val="5A1F5842"/>
    <w:rsid w:val="5A2D558A"/>
    <w:rsid w:val="5A424688"/>
    <w:rsid w:val="5A4E9B7D"/>
    <w:rsid w:val="5A6E35F8"/>
    <w:rsid w:val="5A6E976B"/>
    <w:rsid w:val="5A70105A"/>
    <w:rsid w:val="5A837EBF"/>
    <w:rsid w:val="5A9EB7FC"/>
    <w:rsid w:val="5AB5FDB2"/>
    <w:rsid w:val="5ADAAD62"/>
    <w:rsid w:val="5AE5CCBA"/>
    <w:rsid w:val="5AFCF644"/>
    <w:rsid w:val="5B09794B"/>
    <w:rsid w:val="5B0BE951"/>
    <w:rsid w:val="5B0E56B7"/>
    <w:rsid w:val="5B0FD071"/>
    <w:rsid w:val="5B349307"/>
    <w:rsid w:val="5B7D616E"/>
    <w:rsid w:val="5B882CF6"/>
    <w:rsid w:val="5B947EF8"/>
    <w:rsid w:val="5BD0E05E"/>
    <w:rsid w:val="5C02B143"/>
    <w:rsid w:val="5C06CE74"/>
    <w:rsid w:val="5C1EBB38"/>
    <w:rsid w:val="5C20667E"/>
    <w:rsid w:val="5C307584"/>
    <w:rsid w:val="5C37FE88"/>
    <w:rsid w:val="5C418D77"/>
    <w:rsid w:val="5C488C64"/>
    <w:rsid w:val="5C4AE995"/>
    <w:rsid w:val="5C4BF7F5"/>
    <w:rsid w:val="5C6AAD73"/>
    <w:rsid w:val="5C6BB252"/>
    <w:rsid w:val="5C886CA5"/>
    <w:rsid w:val="5C915193"/>
    <w:rsid w:val="5C9C1E3B"/>
    <w:rsid w:val="5CA19DE3"/>
    <w:rsid w:val="5CACC1CF"/>
    <w:rsid w:val="5CADB2B2"/>
    <w:rsid w:val="5CB175F7"/>
    <w:rsid w:val="5CF56D7E"/>
    <w:rsid w:val="5D140E26"/>
    <w:rsid w:val="5D2CDAEE"/>
    <w:rsid w:val="5D5CB4C7"/>
    <w:rsid w:val="5D626472"/>
    <w:rsid w:val="5D62EE5E"/>
    <w:rsid w:val="5D776816"/>
    <w:rsid w:val="5D9C3338"/>
    <w:rsid w:val="5DA32AC1"/>
    <w:rsid w:val="5DB74FFE"/>
    <w:rsid w:val="5DB9AE20"/>
    <w:rsid w:val="5DC1F025"/>
    <w:rsid w:val="5DC50F5C"/>
    <w:rsid w:val="5DCD4FFE"/>
    <w:rsid w:val="5DE64973"/>
    <w:rsid w:val="5E12D84F"/>
    <w:rsid w:val="5E2BE7CA"/>
    <w:rsid w:val="5E4C1BC7"/>
    <w:rsid w:val="5E81D875"/>
    <w:rsid w:val="5E88F18A"/>
    <w:rsid w:val="5E8EA8B5"/>
    <w:rsid w:val="5E9DEEC5"/>
    <w:rsid w:val="5E9F6AA2"/>
    <w:rsid w:val="5EADC16E"/>
    <w:rsid w:val="5EB7AE20"/>
    <w:rsid w:val="5EC887C9"/>
    <w:rsid w:val="5ED7F037"/>
    <w:rsid w:val="5EF2A648"/>
    <w:rsid w:val="5EFEF573"/>
    <w:rsid w:val="5F021EDE"/>
    <w:rsid w:val="5F0B6708"/>
    <w:rsid w:val="5F1BCDF5"/>
    <w:rsid w:val="5F2604AF"/>
    <w:rsid w:val="5F2DF405"/>
    <w:rsid w:val="5F33BDE8"/>
    <w:rsid w:val="5F4026E4"/>
    <w:rsid w:val="5F50E557"/>
    <w:rsid w:val="5F65ED83"/>
    <w:rsid w:val="5F67866A"/>
    <w:rsid w:val="5F6D75AF"/>
    <w:rsid w:val="5F8E6A86"/>
    <w:rsid w:val="5F90B5F5"/>
    <w:rsid w:val="5F9D13D0"/>
    <w:rsid w:val="5FB895BC"/>
    <w:rsid w:val="5FBE1DFC"/>
    <w:rsid w:val="5FDC74C2"/>
    <w:rsid w:val="6005936E"/>
    <w:rsid w:val="6007C2A8"/>
    <w:rsid w:val="600B94F9"/>
    <w:rsid w:val="600CA704"/>
    <w:rsid w:val="601B768F"/>
    <w:rsid w:val="60202CB8"/>
    <w:rsid w:val="60776F85"/>
    <w:rsid w:val="6082CF6A"/>
    <w:rsid w:val="60871DCC"/>
    <w:rsid w:val="60BEFB20"/>
    <w:rsid w:val="60F13FD7"/>
    <w:rsid w:val="60F43F8C"/>
    <w:rsid w:val="61069B82"/>
    <w:rsid w:val="610C062E"/>
    <w:rsid w:val="611875C6"/>
    <w:rsid w:val="6135995F"/>
    <w:rsid w:val="6139C4A5"/>
    <w:rsid w:val="61452589"/>
    <w:rsid w:val="61531CB3"/>
    <w:rsid w:val="6158FB16"/>
    <w:rsid w:val="619111FF"/>
    <w:rsid w:val="61A449E6"/>
    <w:rsid w:val="61AB077A"/>
    <w:rsid w:val="61BFAB23"/>
    <w:rsid w:val="61D6F4E4"/>
    <w:rsid w:val="61E416CE"/>
    <w:rsid w:val="61F5707B"/>
    <w:rsid w:val="62092503"/>
    <w:rsid w:val="62250ED3"/>
    <w:rsid w:val="623D7AD7"/>
    <w:rsid w:val="62415009"/>
    <w:rsid w:val="626BE3C6"/>
    <w:rsid w:val="628BE9AC"/>
    <w:rsid w:val="62B88B3C"/>
    <w:rsid w:val="62C6ED71"/>
    <w:rsid w:val="62C8C62A"/>
    <w:rsid w:val="62EA0FF4"/>
    <w:rsid w:val="6334739A"/>
    <w:rsid w:val="633C4810"/>
    <w:rsid w:val="6374068A"/>
    <w:rsid w:val="637493DB"/>
    <w:rsid w:val="63C0DB87"/>
    <w:rsid w:val="63DCE611"/>
    <w:rsid w:val="63F4A65B"/>
    <w:rsid w:val="63F66735"/>
    <w:rsid w:val="640D62F6"/>
    <w:rsid w:val="64112D04"/>
    <w:rsid w:val="641F5D14"/>
    <w:rsid w:val="643E14BF"/>
    <w:rsid w:val="647FFFA2"/>
    <w:rsid w:val="64A02F02"/>
    <w:rsid w:val="64A1F111"/>
    <w:rsid w:val="64AC1F46"/>
    <w:rsid w:val="6522A173"/>
    <w:rsid w:val="6525764B"/>
    <w:rsid w:val="65469FE6"/>
    <w:rsid w:val="6553ABC2"/>
    <w:rsid w:val="656489F3"/>
    <w:rsid w:val="65871F89"/>
    <w:rsid w:val="658C93BB"/>
    <w:rsid w:val="659283F1"/>
    <w:rsid w:val="65AA0701"/>
    <w:rsid w:val="65BCFD7B"/>
    <w:rsid w:val="65DC4AF0"/>
    <w:rsid w:val="65E0898F"/>
    <w:rsid w:val="65E2327B"/>
    <w:rsid w:val="65FEBD90"/>
    <w:rsid w:val="661B578F"/>
    <w:rsid w:val="66877F44"/>
    <w:rsid w:val="668D2E40"/>
    <w:rsid w:val="66BD8935"/>
    <w:rsid w:val="66BFFC79"/>
    <w:rsid w:val="66CC3AA1"/>
    <w:rsid w:val="66F29D28"/>
    <w:rsid w:val="66F526DB"/>
    <w:rsid w:val="66FAA0FB"/>
    <w:rsid w:val="6710B121"/>
    <w:rsid w:val="6711669B"/>
    <w:rsid w:val="671BD84C"/>
    <w:rsid w:val="6727970A"/>
    <w:rsid w:val="67372F3B"/>
    <w:rsid w:val="675C50AE"/>
    <w:rsid w:val="6782AF0A"/>
    <w:rsid w:val="67B4C11F"/>
    <w:rsid w:val="67B5860E"/>
    <w:rsid w:val="67B9C71A"/>
    <w:rsid w:val="67BAE89C"/>
    <w:rsid w:val="67DDFE36"/>
    <w:rsid w:val="67E7A2AB"/>
    <w:rsid w:val="67EC6C3E"/>
    <w:rsid w:val="67FB3F8F"/>
    <w:rsid w:val="68054707"/>
    <w:rsid w:val="6814DDA7"/>
    <w:rsid w:val="68196CC3"/>
    <w:rsid w:val="68475E27"/>
    <w:rsid w:val="6859AF63"/>
    <w:rsid w:val="6883AE7D"/>
    <w:rsid w:val="6892BAAA"/>
    <w:rsid w:val="689CE6A5"/>
    <w:rsid w:val="68A948BF"/>
    <w:rsid w:val="68F23736"/>
    <w:rsid w:val="68F54183"/>
    <w:rsid w:val="68F898E2"/>
    <w:rsid w:val="68FBA3C0"/>
    <w:rsid w:val="68FC5928"/>
    <w:rsid w:val="68FCDD4A"/>
    <w:rsid w:val="6907E5F6"/>
    <w:rsid w:val="69248EAC"/>
    <w:rsid w:val="692689EE"/>
    <w:rsid w:val="696FF0D8"/>
    <w:rsid w:val="6978B505"/>
    <w:rsid w:val="69973AD2"/>
    <w:rsid w:val="69A1E6E6"/>
    <w:rsid w:val="69CF0D97"/>
    <w:rsid w:val="69E30F4D"/>
    <w:rsid w:val="69EAB0D5"/>
    <w:rsid w:val="69EB47F8"/>
    <w:rsid w:val="69F6B55A"/>
    <w:rsid w:val="6A3CBEE8"/>
    <w:rsid w:val="6A68EFE1"/>
    <w:rsid w:val="6A740912"/>
    <w:rsid w:val="6A8102B4"/>
    <w:rsid w:val="6A89D09E"/>
    <w:rsid w:val="6A98C0C6"/>
    <w:rsid w:val="6AC78961"/>
    <w:rsid w:val="6AD93DE9"/>
    <w:rsid w:val="6AEBE0A0"/>
    <w:rsid w:val="6B10ED46"/>
    <w:rsid w:val="6B294CF5"/>
    <w:rsid w:val="6B40DF3C"/>
    <w:rsid w:val="6B43EAF9"/>
    <w:rsid w:val="6B527D37"/>
    <w:rsid w:val="6B88BA34"/>
    <w:rsid w:val="6B8F386D"/>
    <w:rsid w:val="6BA85E8A"/>
    <w:rsid w:val="6BB633E5"/>
    <w:rsid w:val="6BBFFFCA"/>
    <w:rsid w:val="6BCAEBC6"/>
    <w:rsid w:val="6BD9D312"/>
    <w:rsid w:val="6BE5C018"/>
    <w:rsid w:val="6BF63381"/>
    <w:rsid w:val="6C1746B4"/>
    <w:rsid w:val="6C1CB335"/>
    <w:rsid w:val="6C1D3117"/>
    <w:rsid w:val="6C1E5FAF"/>
    <w:rsid w:val="6C3128BC"/>
    <w:rsid w:val="6C3EA022"/>
    <w:rsid w:val="6C592CC8"/>
    <w:rsid w:val="6C78A155"/>
    <w:rsid w:val="6C865EC8"/>
    <w:rsid w:val="6C8A744C"/>
    <w:rsid w:val="6C900429"/>
    <w:rsid w:val="6CAC00A9"/>
    <w:rsid w:val="6CB3588A"/>
    <w:rsid w:val="6CBB1140"/>
    <w:rsid w:val="6CC4EAE3"/>
    <w:rsid w:val="6CF40654"/>
    <w:rsid w:val="6D1A3F92"/>
    <w:rsid w:val="6D2CEC04"/>
    <w:rsid w:val="6D30F43F"/>
    <w:rsid w:val="6D3A190E"/>
    <w:rsid w:val="6D66EDFF"/>
    <w:rsid w:val="6D6B547A"/>
    <w:rsid w:val="6D6E0BB9"/>
    <w:rsid w:val="6DAACB56"/>
    <w:rsid w:val="6DB5C19E"/>
    <w:rsid w:val="6DFC4D15"/>
    <w:rsid w:val="6E18BDEC"/>
    <w:rsid w:val="6E348D3C"/>
    <w:rsid w:val="6E3C1DE1"/>
    <w:rsid w:val="6E436DBA"/>
    <w:rsid w:val="6E70A4AD"/>
    <w:rsid w:val="6E7C564D"/>
    <w:rsid w:val="6EA59071"/>
    <w:rsid w:val="6EA5D585"/>
    <w:rsid w:val="6EAF7EDE"/>
    <w:rsid w:val="6EB2229F"/>
    <w:rsid w:val="6EC98391"/>
    <w:rsid w:val="6ECF060F"/>
    <w:rsid w:val="6ED59CCE"/>
    <w:rsid w:val="6EDBF3C2"/>
    <w:rsid w:val="6EE60819"/>
    <w:rsid w:val="6EE847DE"/>
    <w:rsid w:val="6EEB2BC4"/>
    <w:rsid w:val="6F0F3FCB"/>
    <w:rsid w:val="6F5BC9AF"/>
    <w:rsid w:val="6F6B9B3E"/>
    <w:rsid w:val="6F848E50"/>
    <w:rsid w:val="6F871BEB"/>
    <w:rsid w:val="6FA3382C"/>
    <w:rsid w:val="6FAEF56D"/>
    <w:rsid w:val="6FB6A2FB"/>
    <w:rsid w:val="6FC4A7E1"/>
    <w:rsid w:val="6FCE3F72"/>
    <w:rsid w:val="700A77F6"/>
    <w:rsid w:val="700CA946"/>
    <w:rsid w:val="701A7BCF"/>
    <w:rsid w:val="7049C5B9"/>
    <w:rsid w:val="704F6CE8"/>
    <w:rsid w:val="705A329F"/>
    <w:rsid w:val="7060474C"/>
    <w:rsid w:val="70610E92"/>
    <w:rsid w:val="70721901"/>
    <w:rsid w:val="70754115"/>
    <w:rsid w:val="708FB4D7"/>
    <w:rsid w:val="70910C62"/>
    <w:rsid w:val="70AABBA5"/>
    <w:rsid w:val="70B5DA2A"/>
    <w:rsid w:val="70BD7B7C"/>
    <w:rsid w:val="70CF8158"/>
    <w:rsid w:val="70EF9AE8"/>
    <w:rsid w:val="71049262"/>
    <w:rsid w:val="710EC65A"/>
    <w:rsid w:val="712A080D"/>
    <w:rsid w:val="71420C2F"/>
    <w:rsid w:val="714617E1"/>
    <w:rsid w:val="7152F779"/>
    <w:rsid w:val="716AB334"/>
    <w:rsid w:val="71754982"/>
    <w:rsid w:val="71786A7C"/>
    <w:rsid w:val="717A7133"/>
    <w:rsid w:val="717D7069"/>
    <w:rsid w:val="71825D3C"/>
    <w:rsid w:val="718BAB37"/>
    <w:rsid w:val="71A5D0D3"/>
    <w:rsid w:val="71A673FB"/>
    <w:rsid w:val="7255B389"/>
    <w:rsid w:val="728D8340"/>
    <w:rsid w:val="729925AE"/>
    <w:rsid w:val="72A065B6"/>
    <w:rsid w:val="72BA3F25"/>
    <w:rsid w:val="72E4F096"/>
    <w:rsid w:val="72F4683A"/>
    <w:rsid w:val="72F97290"/>
    <w:rsid w:val="73289CDB"/>
    <w:rsid w:val="733412FB"/>
    <w:rsid w:val="735805B9"/>
    <w:rsid w:val="736FC198"/>
    <w:rsid w:val="737CDA5F"/>
    <w:rsid w:val="738B16A6"/>
    <w:rsid w:val="7394D177"/>
    <w:rsid w:val="739E1820"/>
    <w:rsid w:val="73B36253"/>
    <w:rsid w:val="73BD94BA"/>
    <w:rsid w:val="73D30FB1"/>
    <w:rsid w:val="7437B78B"/>
    <w:rsid w:val="7438B83F"/>
    <w:rsid w:val="743B3130"/>
    <w:rsid w:val="743D5575"/>
    <w:rsid w:val="74410595"/>
    <w:rsid w:val="74610368"/>
    <w:rsid w:val="746E954F"/>
    <w:rsid w:val="7482960A"/>
    <w:rsid w:val="74C7B123"/>
    <w:rsid w:val="74EA8088"/>
    <w:rsid w:val="74EFFDB3"/>
    <w:rsid w:val="74F248CA"/>
    <w:rsid w:val="750A6C24"/>
    <w:rsid w:val="750F3EDF"/>
    <w:rsid w:val="751563C4"/>
    <w:rsid w:val="75284415"/>
    <w:rsid w:val="753805AB"/>
    <w:rsid w:val="754B0806"/>
    <w:rsid w:val="754B4E78"/>
    <w:rsid w:val="7559BE15"/>
    <w:rsid w:val="75621982"/>
    <w:rsid w:val="756C468A"/>
    <w:rsid w:val="7579E59D"/>
    <w:rsid w:val="75872697"/>
    <w:rsid w:val="758D0949"/>
    <w:rsid w:val="7592CC61"/>
    <w:rsid w:val="759D7A48"/>
    <w:rsid w:val="75EF6465"/>
    <w:rsid w:val="760925E1"/>
    <w:rsid w:val="7616AF73"/>
    <w:rsid w:val="761ADA91"/>
    <w:rsid w:val="761F46E0"/>
    <w:rsid w:val="76309B57"/>
    <w:rsid w:val="764F73CA"/>
    <w:rsid w:val="765008CA"/>
    <w:rsid w:val="766E7DD3"/>
    <w:rsid w:val="7693CDA9"/>
    <w:rsid w:val="76DAAB49"/>
    <w:rsid w:val="76DFB4A9"/>
    <w:rsid w:val="76E8623F"/>
    <w:rsid w:val="770684EA"/>
    <w:rsid w:val="771EB655"/>
    <w:rsid w:val="772978C9"/>
    <w:rsid w:val="772B7BB5"/>
    <w:rsid w:val="7735DEDC"/>
    <w:rsid w:val="774F405E"/>
    <w:rsid w:val="775C7A4E"/>
    <w:rsid w:val="7768D8B2"/>
    <w:rsid w:val="776C588B"/>
    <w:rsid w:val="7778064A"/>
    <w:rsid w:val="777C8872"/>
    <w:rsid w:val="779460C3"/>
    <w:rsid w:val="77A024AD"/>
    <w:rsid w:val="77A9F771"/>
    <w:rsid w:val="77BC5014"/>
    <w:rsid w:val="77C715D0"/>
    <w:rsid w:val="77DA1117"/>
    <w:rsid w:val="77DA43D3"/>
    <w:rsid w:val="77E50646"/>
    <w:rsid w:val="77F5BD9B"/>
    <w:rsid w:val="78013976"/>
    <w:rsid w:val="78189D88"/>
    <w:rsid w:val="7822B963"/>
    <w:rsid w:val="783A94AD"/>
    <w:rsid w:val="7849D0A8"/>
    <w:rsid w:val="7859EC6D"/>
    <w:rsid w:val="78654EFA"/>
    <w:rsid w:val="78734B03"/>
    <w:rsid w:val="788A60C3"/>
    <w:rsid w:val="78919373"/>
    <w:rsid w:val="7893DA79"/>
    <w:rsid w:val="78A15F1E"/>
    <w:rsid w:val="78A9419B"/>
    <w:rsid w:val="78BBEFDD"/>
    <w:rsid w:val="78D0B7EC"/>
    <w:rsid w:val="78D7624C"/>
    <w:rsid w:val="78E775FC"/>
    <w:rsid w:val="7900969B"/>
    <w:rsid w:val="7915698D"/>
    <w:rsid w:val="791CBC22"/>
    <w:rsid w:val="7922A3AA"/>
    <w:rsid w:val="79473771"/>
    <w:rsid w:val="795AA4C1"/>
    <w:rsid w:val="79738BA6"/>
    <w:rsid w:val="798BDEA1"/>
    <w:rsid w:val="79FF2465"/>
    <w:rsid w:val="7A115EDD"/>
    <w:rsid w:val="7A22B099"/>
    <w:rsid w:val="7A24D821"/>
    <w:rsid w:val="7A35FC7F"/>
    <w:rsid w:val="7A428C05"/>
    <w:rsid w:val="7A4A992B"/>
    <w:rsid w:val="7A542706"/>
    <w:rsid w:val="7A630B72"/>
    <w:rsid w:val="7A818B33"/>
    <w:rsid w:val="7A83E71D"/>
    <w:rsid w:val="7A84EC52"/>
    <w:rsid w:val="7A9AD1F5"/>
    <w:rsid w:val="7A9DE09C"/>
    <w:rsid w:val="7AA41E17"/>
    <w:rsid w:val="7ABC83CB"/>
    <w:rsid w:val="7AC05838"/>
    <w:rsid w:val="7B202523"/>
    <w:rsid w:val="7B2EEC6C"/>
    <w:rsid w:val="7B4747F8"/>
    <w:rsid w:val="7B5AD72A"/>
    <w:rsid w:val="7B771ABA"/>
    <w:rsid w:val="7B8137AA"/>
    <w:rsid w:val="7BABFF06"/>
    <w:rsid w:val="7BBA61FC"/>
    <w:rsid w:val="7BEB68E0"/>
    <w:rsid w:val="7BF29C49"/>
    <w:rsid w:val="7C12DCA2"/>
    <w:rsid w:val="7C14A67C"/>
    <w:rsid w:val="7C20C32C"/>
    <w:rsid w:val="7C30107A"/>
    <w:rsid w:val="7C366A31"/>
    <w:rsid w:val="7C378C6D"/>
    <w:rsid w:val="7C46955B"/>
    <w:rsid w:val="7C72BDA0"/>
    <w:rsid w:val="7C7559B1"/>
    <w:rsid w:val="7C8243B3"/>
    <w:rsid w:val="7C832C7D"/>
    <w:rsid w:val="7C91F98F"/>
    <w:rsid w:val="7CD111B3"/>
    <w:rsid w:val="7CD833A4"/>
    <w:rsid w:val="7CDAFEEC"/>
    <w:rsid w:val="7CE8D194"/>
    <w:rsid w:val="7CEE992A"/>
    <w:rsid w:val="7CFAF9A3"/>
    <w:rsid w:val="7D00C27A"/>
    <w:rsid w:val="7D2498F3"/>
    <w:rsid w:val="7D3EE205"/>
    <w:rsid w:val="7D40E457"/>
    <w:rsid w:val="7D495C62"/>
    <w:rsid w:val="7D519037"/>
    <w:rsid w:val="7D539E6A"/>
    <w:rsid w:val="7D560E7D"/>
    <w:rsid w:val="7D5B3A0C"/>
    <w:rsid w:val="7D6B56DF"/>
    <w:rsid w:val="7D6DAF52"/>
    <w:rsid w:val="7D76B90A"/>
    <w:rsid w:val="7D8AB16E"/>
    <w:rsid w:val="7D8AE325"/>
    <w:rsid w:val="7DB47152"/>
    <w:rsid w:val="7DCA6C0B"/>
    <w:rsid w:val="7DDB36DB"/>
    <w:rsid w:val="7DE8E138"/>
    <w:rsid w:val="7E0411B2"/>
    <w:rsid w:val="7E1DAAB8"/>
    <w:rsid w:val="7E2142CE"/>
    <w:rsid w:val="7E2BD361"/>
    <w:rsid w:val="7E2C0717"/>
    <w:rsid w:val="7E35D5D1"/>
    <w:rsid w:val="7E47706F"/>
    <w:rsid w:val="7E4A504E"/>
    <w:rsid w:val="7E5A4DE2"/>
    <w:rsid w:val="7E63767B"/>
    <w:rsid w:val="7E69CDA9"/>
    <w:rsid w:val="7E70DA1A"/>
    <w:rsid w:val="7E86E888"/>
    <w:rsid w:val="7E880131"/>
    <w:rsid w:val="7EB7C474"/>
    <w:rsid w:val="7ECD8830"/>
    <w:rsid w:val="7EE51670"/>
    <w:rsid w:val="7EEED862"/>
    <w:rsid w:val="7EF9AA0F"/>
    <w:rsid w:val="7F14566D"/>
    <w:rsid w:val="7F23ACE5"/>
    <w:rsid w:val="7F2A7566"/>
    <w:rsid w:val="7F469768"/>
    <w:rsid w:val="7F4C629A"/>
    <w:rsid w:val="7F50FC49"/>
    <w:rsid w:val="7F71940E"/>
    <w:rsid w:val="7F93D980"/>
    <w:rsid w:val="7F9E511D"/>
    <w:rsid w:val="7F9E7B65"/>
    <w:rsid w:val="7F9EC44D"/>
    <w:rsid w:val="7FB1F030"/>
    <w:rsid w:val="7FB5851E"/>
    <w:rsid w:val="7FBDEB7E"/>
    <w:rsid w:val="7FCE6386"/>
    <w:rsid w:val="7FD41943"/>
    <w:rsid w:val="7FDE6D2A"/>
    <w:rsid w:val="7FE2E7E2"/>
    <w:rsid w:val="7FE8D1F6"/>
    <w:rsid w:val="7FF8F7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639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nhideWhenUsed="1" w:qFormat="1"/>
    <w:lsdException w:name="heading 4" w:semiHidden="1"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1"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Cover title white"/>
    <w:basedOn w:val="Normal"/>
    <w:next w:val="Normal"/>
    <w:link w:val="Heading1Char"/>
    <w:uiPriority w:val="9"/>
    <w:unhideWhenUsed/>
    <w:qFormat/>
    <w:rsid w:val="00C06DF6"/>
    <w:pPr>
      <w:outlineLvl w:val="0"/>
    </w:pPr>
    <w:rPr>
      <w:rFonts w:ascii="Arial" w:hAnsi="Arial" w:cs="Arial"/>
      <w:b/>
      <w:bCs/>
      <w:u w:val="single"/>
    </w:rPr>
  </w:style>
  <w:style w:type="paragraph" w:styleId="Heading2">
    <w:name w:val="heading 2"/>
    <w:aliases w:val="Web Heading 2"/>
    <w:basedOn w:val="Normal"/>
    <w:next w:val="Normal"/>
    <w:link w:val="Heading2Char"/>
    <w:uiPriority w:val="3"/>
    <w:unhideWhenUsed/>
    <w:qFormat/>
    <w:rsid w:val="00C06DF6"/>
    <w:pPr>
      <w:outlineLvl w:val="1"/>
    </w:pPr>
    <w:rPr>
      <w:rFonts w:ascii="Arial" w:hAnsi="Arial" w:cs="Arial"/>
    </w:rPr>
  </w:style>
  <w:style w:type="paragraph" w:styleId="Heading3">
    <w:name w:val="heading 3"/>
    <w:aliases w:val="Title 2"/>
    <w:basedOn w:val="Normal"/>
    <w:next w:val="Normal"/>
    <w:link w:val="Heading3Char"/>
    <w:uiPriority w:val="99"/>
    <w:unhideWhenUsed/>
    <w:qFormat/>
    <w:rsid w:val="00DC58A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9"/>
    <w:unhideWhenUsed/>
    <w:qFormat/>
    <w:rsid w:val="00CC559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aliases w:val="Cover subtitle white"/>
    <w:next w:val="Normal"/>
    <w:link w:val="Heading5Char"/>
    <w:uiPriority w:val="1"/>
    <w:unhideWhenUsed/>
    <w:qFormat/>
    <w:rsid w:val="00455DE4"/>
    <w:pPr>
      <w:keepNext/>
      <w:keepLines/>
      <w:spacing w:after="231" w:line="248" w:lineRule="auto"/>
      <w:ind w:left="22" w:hanging="10"/>
      <w:jc w:val="both"/>
      <w:outlineLvl w:val="4"/>
    </w:pPr>
    <w:rPr>
      <w:rFonts w:ascii="Times New Roman" w:eastAsia="Times New Roman" w:hAnsi="Times New Roman" w:cs="Times New Roman"/>
      <w:color w:val="000000"/>
      <w:kern w:val="0"/>
      <w:sz w:val="24"/>
      <w:u w:val="single" w:color="000000"/>
      <w:lang w:eastAsia="en-GB"/>
      <w14:ligatures w14:val="none"/>
    </w:rPr>
  </w:style>
  <w:style w:type="paragraph" w:styleId="Heading6">
    <w:name w:val="heading 6"/>
    <w:basedOn w:val="Normal"/>
    <w:next w:val="Normal"/>
    <w:link w:val="Heading6Char"/>
    <w:qFormat/>
    <w:rsid w:val="00877CF6"/>
    <w:pPr>
      <w:spacing w:before="240" w:after="60" w:line="240" w:lineRule="auto"/>
      <w:jc w:val="both"/>
      <w:outlineLvl w:val="5"/>
    </w:pPr>
    <w:rPr>
      <w:rFonts w:ascii="Times New Roman" w:eastAsia="Arial" w:hAnsi="Times New Roman" w:cs="Times New Roman"/>
      <w:b/>
      <w:bCs/>
      <w:kern w:val="0"/>
      <w:sz w:val="20"/>
      <w:szCs w:val="20"/>
      <w:lang w:val="x-none" w:eastAsia="de-DE"/>
      <w14:ligatures w14:val="none"/>
    </w:rPr>
  </w:style>
  <w:style w:type="paragraph" w:styleId="Heading7">
    <w:name w:val="heading 7"/>
    <w:basedOn w:val="Normal"/>
    <w:next w:val="Normal"/>
    <w:link w:val="Heading7Char"/>
    <w:qFormat/>
    <w:rsid w:val="00877CF6"/>
    <w:pPr>
      <w:spacing w:before="240" w:after="60" w:line="240" w:lineRule="auto"/>
      <w:jc w:val="both"/>
      <w:outlineLvl w:val="6"/>
    </w:pPr>
    <w:rPr>
      <w:rFonts w:ascii="Times New Roman" w:eastAsia="Arial" w:hAnsi="Times New Roman" w:cs="Times New Roman"/>
      <w:kern w:val="0"/>
      <w:sz w:val="20"/>
      <w:szCs w:val="20"/>
      <w:lang w:val="x-none" w:eastAsia="de-DE"/>
      <w14:ligatures w14:val="none"/>
    </w:rPr>
  </w:style>
  <w:style w:type="paragraph" w:styleId="Heading8">
    <w:name w:val="heading 8"/>
    <w:basedOn w:val="Normal"/>
    <w:next w:val="Normal"/>
    <w:link w:val="Heading8Char"/>
    <w:qFormat/>
    <w:rsid w:val="00877CF6"/>
    <w:pPr>
      <w:spacing w:before="240" w:after="60" w:line="240" w:lineRule="auto"/>
      <w:jc w:val="both"/>
      <w:outlineLvl w:val="7"/>
    </w:pPr>
    <w:rPr>
      <w:rFonts w:ascii="Times New Roman" w:eastAsia="Arial" w:hAnsi="Times New Roman" w:cs="Times New Roman"/>
      <w:i/>
      <w:iCs/>
      <w:kern w:val="0"/>
      <w:sz w:val="20"/>
      <w:szCs w:val="20"/>
      <w:lang w:val="x-none" w:eastAsia="de-DE"/>
      <w14:ligatures w14:val="none"/>
    </w:rPr>
  </w:style>
  <w:style w:type="paragraph" w:styleId="Heading9">
    <w:name w:val="heading 9"/>
    <w:basedOn w:val="Normal"/>
    <w:next w:val="Normal"/>
    <w:link w:val="Heading9Char"/>
    <w:qFormat/>
    <w:rsid w:val="00877CF6"/>
    <w:pPr>
      <w:spacing w:before="240" w:after="60" w:line="240" w:lineRule="auto"/>
      <w:jc w:val="both"/>
      <w:outlineLvl w:val="8"/>
    </w:pPr>
    <w:rPr>
      <w:rFonts w:ascii="Arial" w:eastAsia="Arial" w:hAnsi="Arial" w:cs="Times New Roman"/>
      <w:kern w:val="0"/>
      <w:sz w:val="20"/>
      <w:szCs w:val="20"/>
      <w:lang w:val="x-none" w:eastAsia="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132E2"/>
    <w:pPr>
      <w:spacing w:after="0" w:line="240" w:lineRule="auto"/>
    </w:pPr>
  </w:style>
  <w:style w:type="paragraph" w:styleId="Header">
    <w:name w:val="header"/>
    <w:basedOn w:val="Normal"/>
    <w:link w:val="HeaderChar"/>
    <w:uiPriority w:val="99"/>
    <w:unhideWhenUsed/>
    <w:rsid w:val="00DC58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849"/>
  </w:style>
  <w:style w:type="paragraph" w:styleId="Footer">
    <w:name w:val="footer"/>
    <w:basedOn w:val="Normal"/>
    <w:link w:val="FooterChar"/>
    <w:uiPriority w:val="99"/>
    <w:unhideWhenUsed/>
    <w:rsid w:val="00DC58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849"/>
  </w:style>
  <w:style w:type="paragraph" w:styleId="FootnoteText">
    <w:name w:val="footnote text"/>
    <w:basedOn w:val="Normal"/>
    <w:link w:val="FootnoteTextChar"/>
    <w:uiPriority w:val="99"/>
    <w:unhideWhenUsed/>
    <w:qFormat/>
    <w:rsid w:val="00E22727"/>
    <w:pPr>
      <w:spacing w:after="0" w:line="240" w:lineRule="auto"/>
    </w:pPr>
    <w:rPr>
      <w:sz w:val="20"/>
      <w:szCs w:val="20"/>
    </w:rPr>
  </w:style>
  <w:style w:type="character" w:customStyle="1" w:styleId="FootnoteTextChar">
    <w:name w:val="Footnote Text Char"/>
    <w:basedOn w:val="DefaultParagraphFont"/>
    <w:link w:val="FootnoteText"/>
    <w:uiPriority w:val="99"/>
    <w:rsid w:val="00E22727"/>
    <w:rPr>
      <w:sz w:val="20"/>
      <w:szCs w:val="20"/>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uiPriority w:val="99"/>
    <w:unhideWhenUsed/>
    <w:qFormat/>
    <w:rsid w:val="00E22727"/>
    <w:rPr>
      <w:vertAlign w:val="superscript"/>
    </w:rPr>
  </w:style>
  <w:style w:type="paragraph" w:styleId="ListParagraph">
    <w:name w:val="List Paragraph"/>
    <w:aliases w:val="Dot pt,Colorful List - Accent 11,No Spacing1,List Paragraph Char Char Char,Indicator Text,Numbered Para 1,Bullet 1,F5 List Paragraph,Bullet Points,List Paragraph2,MAIN CONTENT,List Paragraph12,Normal numbered,OBC Bullet,L"/>
    <w:basedOn w:val="Normal"/>
    <w:link w:val="ListParagraphChar"/>
    <w:uiPriority w:val="34"/>
    <w:qFormat/>
    <w:rsid w:val="00327D31"/>
    <w:pPr>
      <w:ind w:left="720"/>
      <w:contextualSpacing/>
    </w:pPr>
  </w:style>
  <w:style w:type="table" w:styleId="TableGrid">
    <w:name w:val="Table Grid"/>
    <w:basedOn w:val="TableNormal"/>
    <w:uiPriority w:val="59"/>
    <w:rsid w:val="00517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001F0"/>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character" w:customStyle="1" w:styleId="Heading1Char">
    <w:name w:val="Heading 1 Char"/>
    <w:aliases w:val="Cover title white Char"/>
    <w:basedOn w:val="DefaultParagraphFont"/>
    <w:link w:val="Heading1"/>
    <w:uiPriority w:val="9"/>
    <w:rsid w:val="00C06DF6"/>
    <w:rPr>
      <w:rFonts w:ascii="Arial" w:hAnsi="Arial" w:cs="Arial"/>
      <w:b/>
      <w:bCs/>
      <w:u w:val="single"/>
    </w:rPr>
  </w:style>
  <w:style w:type="character" w:customStyle="1" w:styleId="Heading2Char">
    <w:name w:val="Heading 2 Char"/>
    <w:aliases w:val="Web Heading 2 Char"/>
    <w:basedOn w:val="DefaultParagraphFont"/>
    <w:link w:val="Heading2"/>
    <w:uiPriority w:val="3"/>
    <w:rsid w:val="00C06DF6"/>
    <w:rPr>
      <w:rFonts w:ascii="Arial" w:hAnsi="Arial" w:cs="Arial"/>
    </w:rPr>
  </w:style>
  <w:style w:type="character" w:customStyle="1" w:styleId="Heading3Char">
    <w:name w:val="Heading 3 Char"/>
    <w:aliases w:val="Title 2 Char"/>
    <w:basedOn w:val="DefaultParagraphFont"/>
    <w:link w:val="Heading3"/>
    <w:uiPriority w:val="99"/>
    <w:rsid w:val="00DC58A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9"/>
    <w:rsid w:val="00CC559B"/>
    <w:rPr>
      <w:rFonts w:asciiTheme="majorHAnsi" w:eastAsiaTheme="majorEastAsia" w:hAnsiTheme="majorHAnsi" w:cstheme="majorBidi"/>
      <w:i/>
      <w:iCs/>
      <w:color w:val="365F91" w:themeColor="accent1" w:themeShade="BF"/>
    </w:rPr>
  </w:style>
  <w:style w:type="paragraph" w:customStyle="1" w:styleId="footnotedescription">
    <w:name w:val="footnote description"/>
    <w:next w:val="Normal"/>
    <w:link w:val="footnotedescriptionChar"/>
    <w:hidden/>
    <w:rsid w:val="00CC559B"/>
    <w:pPr>
      <w:spacing w:after="0" w:line="243" w:lineRule="auto"/>
      <w:ind w:left="578" w:right="510" w:hanging="566"/>
      <w:jc w:val="both"/>
    </w:pPr>
    <w:rPr>
      <w:rFonts w:ascii="Times New Roman" w:eastAsia="Times New Roman" w:hAnsi="Times New Roman" w:cs="Times New Roman"/>
      <w:color w:val="000000"/>
      <w:kern w:val="0"/>
      <w:sz w:val="20"/>
      <w:lang w:eastAsia="en-GB"/>
      <w14:ligatures w14:val="none"/>
    </w:rPr>
  </w:style>
  <w:style w:type="character" w:customStyle="1" w:styleId="footnotedescriptionChar">
    <w:name w:val="footnote description Char"/>
    <w:link w:val="footnotedescription"/>
    <w:rsid w:val="00CC559B"/>
    <w:rPr>
      <w:rFonts w:ascii="Times New Roman" w:eastAsia="Times New Roman" w:hAnsi="Times New Roman" w:cs="Times New Roman"/>
      <w:color w:val="000000"/>
      <w:kern w:val="0"/>
      <w:sz w:val="20"/>
      <w:lang w:eastAsia="en-GB"/>
      <w14:ligatures w14:val="none"/>
    </w:rPr>
  </w:style>
  <w:style w:type="character" w:customStyle="1" w:styleId="footnotemark">
    <w:name w:val="footnote mark"/>
    <w:hidden/>
    <w:rsid w:val="00CC559B"/>
    <w:rPr>
      <w:rFonts w:ascii="Times New Roman" w:eastAsia="Times New Roman" w:hAnsi="Times New Roman" w:cs="Times New Roman"/>
      <w:color w:val="000000"/>
      <w:sz w:val="20"/>
      <w:vertAlign w:val="superscript"/>
    </w:rPr>
  </w:style>
  <w:style w:type="character" w:customStyle="1" w:styleId="Heading5Char">
    <w:name w:val="Heading 5 Char"/>
    <w:aliases w:val="Cover subtitle white Char"/>
    <w:basedOn w:val="DefaultParagraphFont"/>
    <w:link w:val="Heading5"/>
    <w:uiPriority w:val="1"/>
    <w:rsid w:val="00455DE4"/>
    <w:rPr>
      <w:rFonts w:ascii="Times New Roman" w:eastAsia="Times New Roman" w:hAnsi="Times New Roman" w:cs="Times New Roman"/>
      <w:color w:val="000000"/>
      <w:kern w:val="0"/>
      <w:sz w:val="24"/>
      <w:u w:val="single" w:color="000000"/>
      <w:lang w:eastAsia="en-GB"/>
      <w14:ligatures w14:val="none"/>
    </w:rPr>
  </w:style>
  <w:style w:type="character" w:styleId="CommentReference">
    <w:name w:val="annotation reference"/>
    <w:basedOn w:val="DefaultParagraphFont"/>
    <w:uiPriority w:val="99"/>
    <w:unhideWhenUsed/>
    <w:rsid w:val="00455DE4"/>
    <w:rPr>
      <w:sz w:val="16"/>
      <w:szCs w:val="16"/>
    </w:rPr>
  </w:style>
  <w:style w:type="paragraph" w:styleId="CommentText">
    <w:name w:val="annotation text"/>
    <w:basedOn w:val="Normal"/>
    <w:link w:val="CommentTextChar"/>
    <w:uiPriority w:val="99"/>
    <w:unhideWhenUsed/>
    <w:rsid w:val="00455DE4"/>
    <w:pPr>
      <w:spacing w:after="228" w:line="240" w:lineRule="auto"/>
      <w:ind w:left="368" w:right="652" w:hanging="368"/>
      <w:jc w:val="both"/>
    </w:pPr>
    <w:rPr>
      <w:rFonts w:ascii="Times New Roman" w:eastAsia="Times New Roman" w:hAnsi="Times New Roman" w:cs="Times New Roman"/>
      <w:color w:val="000000"/>
      <w:kern w:val="0"/>
      <w:sz w:val="20"/>
      <w:szCs w:val="20"/>
      <w:lang w:eastAsia="en-GB"/>
      <w14:ligatures w14:val="none"/>
    </w:rPr>
  </w:style>
  <w:style w:type="character" w:customStyle="1" w:styleId="CommentTextChar">
    <w:name w:val="Comment Text Char"/>
    <w:basedOn w:val="DefaultParagraphFont"/>
    <w:link w:val="CommentText"/>
    <w:uiPriority w:val="99"/>
    <w:rsid w:val="00455DE4"/>
    <w:rPr>
      <w:rFonts w:ascii="Times New Roman" w:eastAsia="Times New Roman" w:hAnsi="Times New Roman" w:cs="Times New Roman"/>
      <w:color w:val="000000"/>
      <w:kern w:val="0"/>
      <w:sz w:val="20"/>
      <w:szCs w:val="20"/>
      <w:lang w:eastAsia="en-GB"/>
      <w14:ligatures w14:val="none"/>
    </w:rPr>
  </w:style>
  <w:style w:type="paragraph" w:styleId="CommentSubject">
    <w:name w:val="annotation subject"/>
    <w:basedOn w:val="CommentText"/>
    <w:next w:val="CommentText"/>
    <w:link w:val="CommentSubjectChar"/>
    <w:uiPriority w:val="99"/>
    <w:unhideWhenUsed/>
    <w:rsid w:val="00455DE4"/>
    <w:rPr>
      <w:b/>
      <w:bCs/>
    </w:rPr>
  </w:style>
  <w:style w:type="character" w:customStyle="1" w:styleId="CommentSubjectChar">
    <w:name w:val="Comment Subject Char"/>
    <w:basedOn w:val="CommentTextChar"/>
    <w:link w:val="CommentSubject"/>
    <w:uiPriority w:val="99"/>
    <w:rsid w:val="00455DE4"/>
    <w:rPr>
      <w:rFonts w:ascii="Times New Roman" w:eastAsia="Times New Roman" w:hAnsi="Times New Roman" w:cs="Times New Roman"/>
      <w:b/>
      <w:bCs/>
      <w:color w:val="000000"/>
      <w:kern w:val="0"/>
      <w:sz w:val="20"/>
      <w:szCs w:val="20"/>
      <w:lang w:eastAsia="en-GB"/>
      <w14:ligatures w14:val="none"/>
    </w:rPr>
  </w:style>
  <w:style w:type="paragraph" w:styleId="BalloonText">
    <w:name w:val="Balloon Text"/>
    <w:basedOn w:val="Normal"/>
    <w:link w:val="BalloonTextChar"/>
    <w:uiPriority w:val="99"/>
    <w:unhideWhenUsed/>
    <w:rsid w:val="00455DE4"/>
    <w:pPr>
      <w:spacing w:after="0" w:line="240" w:lineRule="auto"/>
      <w:ind w:left="368" w:right="652" w:hanging="368"/>
      <w:jc w:val="both"/>
    </w:pPr>
    <w:rPr>
      <w:rFonts w:ascii="Segoe UI" w:eastAsia="Times New Roman" w:hAnsi="Segoe UI" w:cs="Segoe UI"/>
      <w:color w:val="000000"/>
      <w:kern w:val="0"/>
      <w:sz w:val="18"/>
      <w:szCs w:val="18"/>
      <w:lang w:eastAsia="en-GB"/>
      <w14:ligatures w14:val="none"/>
    </w:rPr>
  </w:style>
  <w:style w:type="character" w:customStyle="1" w:styleId="BalloonTextChar">
    <w:name w:val="Balloon Text Char"/>
    <w:basedOn w:val="DefaultParagraphFont"/>
    <w:link w:val="BalloonText"/>
    <w:uiPriority w:val="99"/>
    <w:rsid w:val="00455DE4"/>
    <w:rPr>
      <w:rFonts w:ascii="Segoe UI" w:eastAsia="Times New Roman" w:hAnsi="Segoe UI" w:cs="Segoe UI"/>
      <w:color w:val="000000"/>
      <w:kern w:val="0"/>
      <w:sz w:val="18"/>
      <w:szCs w:val="18"/>
      <w:lang w:eastAsia="en-GB"/>
      <w14:ligatures w14:val="none"/>
    </w:rPr>
  </w:style>
  <w:style w:type="numbering" w:customStyle="1" w:styleId="NoList1">
    <w:name w:val="No List1"/>
    <w:next w:val="NoList"/>
    <w:uiPriority w:val="99"/>
    <w:semiHidden/>
    <w:unhideWhenUsed/>
    <w:rsid w:val="009B58FE"/>
  </w:style>
  <w:style w:type="table" w:customStyle="1" w:styleId="TableGrid1">
    <w:name w:val="Table Grid1"/>
    <w:basedOn w:val="TableNormal"/>
    <w:next w:val="TableGrid"/>
    <w:uiPriority w:val="59"/>
    <w:rsid w:val="009B58F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58F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9B58FE"/>
    <w:rPr>
      <w:color w:val="0000FF"/>
      <w:u w:val="single"/>
    </w:rPr>
  </w:style>
  <w:style w:type="table" w:customStyle="1" w:styleId="TableGrid2">
    <w:name w:val="Table Grid2"/>
    <w:basedOn w:val="TableNormal"/>
    <w:next w:val="TableGrid"/>
    <w:uiPriority w:val="59"/>
    <w:rsid w:val="00877CF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877CF6"/>
    <w:rPr>
      <w:rFonts w:ascii="Times New Roman" w:eastAsia="Arial" w:hAnsi="Times New Roman" w:cs="Times New Roman"/>
      <w:b/>
      <w:bCs/>
      <w:kern w:val="0"/>
      <w:sz w:val="20"/>
      <w:szCs w:val="20"/>
      <w:lang w:val="x-none" w:eastAsia="de-DE"/>
      <w14:ligatures w14:val="none"/>
    </w:rPr>
  </w:style>
  <w:style w:type="character" w:customStyle="1" w:styleId="Heading7Char">
    <w:name w:val="Heading 7 Char"/>
    <w:basedOn w:val="DefaultParagraphFont"/>
    <w:link w:val="Heading7"/>
    <w:rsid w:val="00877CF6"/>
    <w:rPr>
      <w:rFonts w:ascii="Times New Roman" w:eastAsia="Arial" w:hAnsi="Times New Roman" w:cs="Times New Roman"/>
      <w:kern w:val="0"/>
      <w:sz w:val="20"/>
      <w:szCs w:val="20"/>
      <w:lang w:val="x-none" w:eastAsia="de-DE"/>
      <w14:ligatures w14:val="none"/>
    </w:rPr>
  </w:style>
  <w:style w:type="character" w:customStyle="1" w:styleId="Heading8Char">
    <w:name w:val="Heading 8 Char"/>
    <w:basedOn w:val="DefaultParagraphFont"/>
    <w:link w:val="Heading8"/>
    <w:rsid w:val="00877CF6"/>
    <w:rPr>
      <w:rFonts w:ascii="Times New Roman" w:eastAsia="Arial" w:hAnsi="Times New Roman" w:cs="Times New Roman"/>
      <w:i/>
      <w:iCs/>
      <w:kern w:val="0"/>
      <w:sz w:val="20"/>
      <w:szCs w:val="20"/>
      <w:lang w:val="x-none" w:eastAsia="de-DE"/>
      <w14:ligatures w14:val="none"/>
    </w:rPr>
  </w:style>
  <w:style w:type="character" w:customStyle="1" w:styleId="Heading9Char">
    <w:name w:val="Heading 9 Char"/>
    <w:basedOn w:val="DefaultParagraphFont"/>
    <w:link w:val="Heading9"/>
    <w:rsid w:val="00877CF6"/>
    <w:rPr>
      <w:rFonts w:ascii="Arial" w:eastAsia="Arial" w:hAnsi="Arial" w:cs="Times New Roman"/>
      <w:kern w:val="0"/>
      <w:sz w:val="20"/>
      <w:szCs w:val="20"/>
      <w:lang w:val="x-none" w:eastAsia="de-DE"/>
      <w14:ligatures w14:val="none"/>
    </w:rPr>
  </w:style>
  <w:style w:type="table" w:customStyle="1" w:styleId="TablaCUADROS1">
    <w:name w:val="Tabla CUADROS1"/>
    <w:basedOn w:val="TableNormal"/>
    <w:next w:val="TableGrid"/>
    <w:uiPriority w:val="59"/>
    <w:rsid w:val="00877CF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qFormat/>
    <w:rsid w:val="00877CF6"/>
    <w:pPr>
      <w:spacing w:before="120" w:after="120" w:line="240" w:lineRule="auto"/>
      <w:ind w:left="440" w:hanging="440"/>
      <w:jc w:val="both"/>
    </w:pPr>
    <w:rPr>
      <w:rFonts w:ascii="Verdana" w:eastAsia="Times New Roman" w:hAnsi="Verdana" w:cs="Times New Roman"/>
      <w:kern w:val="0"/>
      <w:sz w:val="20"/>
      <w:szCs w:val="24"/>
      <w14:ligatures w14:val="none"/>
    </w:rPr>
  </w:style>
  <w:style w:type="paragraph" w:customStyle="1" w:styleId="Aufzhlungszeichen1">
    <w:name w:val="Aufzählungszeichen1"/>
    <w:basedOn w:val="Normal"/>
    <w:uiPriority w:val="1"/>
    <w:qFormat/>
    <w:rsid w:val="00877CF6"/>
    <w:pPr>
      <w:numPr>
        <w:numId w:val="1"/>
      </w:numPr>
      <w:spacing w:before="120" w:after="120" w:line="240" w:lineRule="exact"/>
      <w:jc w:val="both"/>
    </w:pPr>
    <w:rPr>
      <w:rFonts w:ascii="Verdana" w:eastAsia="Times New Roman" w:hAnsi="Verdana" w:cs="Times New Roman"/>
      <w:kern w:val="0"/>
      <w:sz w:val="20"/>
      <w:szCs w:val="24"/>
      <w14:ligatures w14:val="none"/>
    </w:rPr>
  </w:style>
  <w:style w:type="paragraph" w:customStyle="1" w:styleId="Aufzhlungszeichen2">
    <w:name w:val="Aufzählungszeichen2"/>
    <w:basedOn w:val="Normal"/>
    <w:uiPriority w:val="1"/>
    <w:qFormat/>
    <w:rsid w:val="00877CF6"/>
    <w:pPr>
      <w:numPr>
        <w:numId w:val="2"/>
      </w:numPr>
      <w:spacing w:before="120" w:after="120" w:line="240" w:lineRule="exact"/>
      <w:jc w:val="both"/>
    </w:pPr>
    <w:rPr>
      <w:rFonts w:ascii="Verdana" w:eastAsia="Times New Roman" w:hAnsi="Verdana" w:cs="Times New Roman"/>
      <w:kern w:val="0"/>
      <w:sz w:val="20"/>
      <w:szCs w:val="24"/>
      <w14:ligatures w14:val="none"/>
    </w:rPr>
  </w:style>
  <w:style w:type="paragraph" w:customStyle="1" w:styleId="Aufzhlungszeichen3">
    <w:name w:val="Aufzählungszeichen3"/>
    <w:basedOn w:val="Normal"/>
    <w:uiPriority w:val="1"/>
    <w:qFormat/>
    <w:rsid w:val="00877CF6"/>
    <w:pPr>
      <w:numPr>
        <w:numId w:val="3"/>
      </w:numPr>
      <w:spacing w:before="120" w:after="120" w:line="240" w:lineRule="exact"/>
      <w:jc w:val="both"/>
    </w:pPr>
    <w:rPr>
      <w:rFonts w:ascii="Verdana" w:eastAsia="Times New Roman" w:hAnsi="Verdana" w:cs="Times New Roman"/>
      <w:kern w:val="0"/>
      <w:sz w:val="20"/>
      <w:szCs w:val="24"/>
      <w14:ligatures w14:val="none"/>
    </w:rPr>
  </w:style>
  <w:style w:type="paragraph" w:customStyle="1" w:styleId="Aufzhlungszeichen4">
    <w:name w:val="Aufzählungszeichen4"/>
    <w:basedOn w:val="Normal"/>
    <w:uiPriority w:val="1"/>
    <w:qFormat/>
    <w:rsid w:val="00877CF6"/>
    <w:pPr>
      <w:numPr>
        <w:numId w:val="4"/>
      </w:numPr>
      <w:spacing w:before="120" w:after="120" w:line="240" w:lineRule="exact"/>
      <w:jc w:val="both"/>
    </w:pPr>
    <w:rPr>
      <w:rFonts w:ascii="Verdana" w:eastAsia="Times New Roman" w:hAnsi="Verdana" w:cs="Times New Roman"/>
      <w:kern w:val="0"/>
      <w:sz w:val="20"/>
      <w:szCs w:val="24"/>
      <w14:ligatures w14:val="none"/>
    </w:rPr>
  </w:style>
  <w:style w:type="paragraph" w:customStyle="1" w:styleId="GliederungmitAufzhlung">
    <w:name w:val="Gliederung mit Aufzählung"/>
    <w:basedOn w:val="Normal"/>
    <w:uiPriority w:val="1"/>
    <w:qFormat/>
    <w:rsid w:val="00877CF6"/>
    <w:pPr>
      <w:tabs>
        <w:tab w:val="num" w:pos="357"/>
      </w:tabs>
      <w:spacing w:before="120" w:after="120" w:line="312" w:lineRule="auto"/>
      <w:ind w:left="357" w:hanging="357"/>
      <w:jc w:val="both"/>
    </w:pPr>
    <w:rPr>
      <w:rFonts w:ascii="Verdana" w:eastAsia="Times New Roman" w:hAnsi="Verdana" w:cs="Times New Roman"/>
      <w:kern w:val="0"/>
      <w:sz w:val="20"/>
      <w:szCs w:val="24"/>
      <w14:ligatures w14:val="none"/>
    </w:rPr>
  </w:style>
  <w:style w:type="paragraph" w:customStyle="1" w:styleId="GliederungmitNummerierung">
    <w:name w:val="Gliederung mit Nummerierung"/>
    <w:basedOn w:val="Normal"/>
    <w:uiPriority w:val="1"/>
    <w:qFormat/>
    <w:rsid w:val="00877CF6"/>
    <w:pPr>
      <w:numPr>
        <w:numId w:val="6"/>
      </w:numPr>
      <w:spacing w:before="120" w:after="120" w:line="312" w:lineRule="auto"/>
      <w:jc w:val="both"/>
    </w:pPr>
    <w:rPr>
      <w:rFonts w:ascii="Verdana" w:eastAsia="Times New Roman" w:hAnsi="Verdana" w:cs="Times New Roman"/>
      <w:kern w:val="0"/>
      <w:sz w:val="20"/>
      <w:szCs w:val="24"/>
      <w14:ligatures w14:val="none"/>
    </w:rPr>
  </w:style>
  <w:style w:type="paragraph" w:customStyle="1" w:styleId="HngEinrckung1">
    <w:name w:val="Häng. Einrückung1"/>
    <w:basedOn w:val="Normal"/>
    <w:uiPriority w:val="1"/>
    <w:qFormat/>
    <w:rsid w:val="00877CF6"/>
    <w:pPr>
      <w:spacing w:before="120" w:after="120" w:line="312" w:lineRule="auto"/>
      <w:ind w:left="567" w:hanging="567"/>
      <w:jc w:val="both"/>
    </w:pPr>
    <w:rPr>
      <w:rFonts w:ascii="Verdana" w:eastAsia="Times New Roman" w:hAnsi="Verdana" w:cs="Times New Roman"/>
      <w:kern w:val="0"/>
      <w:sz w:val="20"/>
      <w:szCs w:val="24"/>
      <w14:ligatures w14:val="none"/>
    </w:rPr>
  </w:style>
  <w:style w:type="paragraph" w:customStyle="1" w:styleId="HngEinrckung2">
    <w:name w:val="Häng. Einrückung2"/>
    <w:basedOn w:val="Normal"/>
    <w:uiPriority w:val="1"/>
    <w:qFormat/>
    <w:rsid w:val="00877CF6"/>
    <w:pPr>
      <w:spacing w:before="120" w:after="120" w:line="312" w:lineRule="auto"/>
      <w:ind w:left="1134" w:hanging="567"/>
      <w:jc w:val="both"/>
    </w:pPr>
    <w:rPr>
      <w:rFonts w:ascii="Verdana" w:eastAsia="Times New Roman" w:hAnsi="Verdana" w:cs="Times New Roman"/>
      <w:kern w:val="0"/>
      <w:sz w:val="20"/>
      <w:szCs w:val="24"/>
      <w14:ligatures w14:val="none"/>
    </w:rPr>
  </w:style>
  <w:style w:type="paragraph" w:customStyle="1" w:styleId="HngEinrckung3">
    <w:name w:val="Häng. Einrückung3"/>
    <w:basedOn w:val="Normal"/>
    <w:uiPriority w:val="1"/>
    <w:qFormat/>
    <w:rsid w:val="00877CF6"/>
    <w:pPr>
      <w:spacing w:before="120" w:after="120" w:line="312" w:lineRule="auto"/>
      <w:ind w:left="1701" w:hanging="567"/>
      <w:jc w:val="both"/>
    </w:pPr>
    <w:rPr>
      <w:rFonts w:ascii="Verdana" w:eastAsia="Times New Roman" w:hAnsi="Verdana" w:cs="Times New Roman"/>
      <w:kern w:val="0"/>
      <w:sz w:val="20"/>
      <w:szCs w:val="24"/>
      <w14:ligatures w14:val="none"/>
    </w:rPr>
  </w:style>
  <w:style w:type="paragraph" w:customStyle="1" w:styleId="Marginalspalte">
    <w:name w:val="Marginalspalte"/>
    <w:basedOn w:val="Normal"/>
    <w:uiPriority w:val="1"/>
    <w:qFormat/>
    <w:rsid w:val="00877CF6"/>
    <w:pPr>
      <w:framePr w:w="851" w:h="851" w:hSpace="284" w:wrap="around" w:vAnchor="text" w:hAnchor="page" w:y="1"/>
      <w:spacing w:before="120" w:after="120" w:line="240" w:lineRule="auto"/>
      <w:jc w:val="both"/>
    </w:pPr>
    <w:rPr>
      <w:rFonts w:ascii="Verdana" w:eastAsia="Times New Roman" w:hAnsi="Verdana" w:cs="Times New Roman"/>
      <w:i/>
      <w:kern w:val="0"/>
      <w:sz w:val="20"/>
      <w14:ligatures w14:val="none"/>
    </w:rPr>
  </w:style>
  <w:style w:type="paragraph" w:customStyle="1" w:styleId="Nummerierungsart1">
    <w:name w:val="Nummerierungsart1"/>
    <w:basedOn w:val="Normal"/>
    <w:uiPriority w:val="1"/>
    <w:qFormat/>
    <w:rsid w:val="00877CF6"/>
    <w:pPr>
      <w:numPr>
        <w:numId w:val="7"/>
      </w:numPr>
      <w:spacing w:before="120" w:after="120" w:line="240" w:lineRule="auto"/>
      <w:jc w:val="both"/>
    </w:pPr>
    <w:rPr>
      <w:rFonts w:ascii="Verdana" w:eastAsia="Times New Roman" w:hAnsi="Verdana" w:cs="Times New Roman"/>
      <w:kern w:val="0"/>
      <w:sz w:val="20"/>
      <w:szCs w:val="24"/>
      <w14:ligatures w14:val="none"/>
    </w:rPr>
  </w:style>
  <w:style w:type="paragraph" w:customStyle="1" w:styleId="Nummerierungsart2">
    <w:name w:val="Nummerierungsart2"/>
    <w:basedOn w:val="Normal"/>
    <w:uiPriority w:val="1"/>
    <w:qFormat/>
    <w:rsid w:val="00877CF6"/>
    <w:pPr>
      <w:numPr>
        <w:numId w:val="8"/>
      </w:numPr>
      <w:spacing w:before="120" w:after="120" w:line="240" w:lineRule="auto"/>
      <w:jc w:val="both"/>
    </w:pPr>
    <w:rPr>
      <w:rFonts w:ascii="Verdana" w:eastAsia="Times New Roman" w:hAnsi="Verdana" w:cs="Times New Roman"/>
      <w:kern w:val="0"/>
      <w:sz w:val="20"/>
      <w:szCs w:val="24"/>
      <w14:ligatures w14:val="none"/>
    </w:rPr>
  </w:style>
  <w:style w:type="paragraph" w:customStyle="1" w:styleId="Nummerierungsart3">
    <w:name w:val="Nummerierungsart3"/>
    <w:basedOn w:val="Normal"/>
    <w:uiPriority w:val="1"/>
    <w:qFormat/>
    <w:rsid w:val="00877CF6"/>
    <w:pPr>
      <w:numPr>
        <w:numId w:val="5"/>
      </w:numPr>
      <w:spacing w:before="120" w:after="120" w:line="240" w:lineRule="auto"/>
      <w:jc w:val="both"/>
    </w:pPr>
    <w:rPr>
      <w:rFonts w:ascii="Verdana" w:eastAsia="Times New Roman" w:hAnsi="Verdana" w:cs="Times New Roman"/>
      <w:kern w:val="0"/>
      <w:sz w:val="20"/>
      <w:szCs w:val="24"/>
      <w14:ligatures w14:val="none"/>
    </w:rPr>
  </w:style>
  <w:style w:type="paragraph" w:customStyle="1" w:styleId="Nummerierungsart4">
    <w:name w:val="Nummerierungsart4"/>
    <w:basedOn w:val="Normal"/>
    <w:uiPriority w:val="1"/>
    <w:qFormat/>
    <w:rsid w:val="00877CF6"/>
    <w:pPr>
      <w:numPr>
        <w:numId w:val="9"/>
      </w:numPr>
      <w:spacing w:before="120" w:after="120" w:line="240" w:lineRule="auto"/>
      <w:jc w:val="both"/>
    </w:pPr>
    <w:rPr>
      <w:rFonts w:ascii="Verdana" w:eastAsia="Times New Roman" w:hAnsi="Verdana" w:cs="Times New Roman"/>
      <w:kern w:val="0"/>
      <w:sz w:val="20"/>
      <w:szCs w:val="24"/>
      <w14:ligatures w14:val="none"/>
    </w:rPr>
  </w:style>
  <w:style w:type="character" w:styleId="PageNumber">
    <w:name w:val="page number"/>
    <w:uiPriority w:val="99"/>
    <w:rsid w:val="00877CF6"/>
    <w:rPr>
      <w:rFonts w:ascii="Arial" w:hAnsi="Arial" w:cs="Times New Roman"/>
      <w:sz w:val="22"/>
    </w:rPr>
  </w:style>
  <w:style w:type="character" w:customStyle="1" w:styleId="Heading3Char1">
    <w:name w:val="Heading 3 Char1"/>
    <w:aliases w:val="Title 2 Char1"/>
    <w:uiPriority w:val="99"/>
    <w:locked/>
    <w:rsid w:val="00877CF6"/>
    <w:rPr>
      <w:rFonts w:ascii="Arial" w:eastAsia="Arial" w:hAnsi="Arial" w:cs="Times New Roman"/>
      <w:b/>
      <w:kern w:val="0"/>
      <w:sz w:val="20"/>
      <w:szCs w:val="20"/>
      <w:lang w:val="x-none" w:eastAsia="de-DE"/>
      <w14:ligatures w14:val="none"/>
    </w:rPr>
  </w:style>
  <w:style w:type="paragraph" w:styleId="TOC1">
    <w:name w:val="toc 1"/>
    <w:basedOn w:val="Normal"/>
    <w:next w:val="Normal"/>
    <w:autoRedefine/>
    <w:uiPriority w:val="39"/>
    <w:qFormat/>
    <w:rsid w:val="001971B4"/>
    <w:pPr>
      <w:tabs>
        <w:tab w:val="left" w:pos="794"/>
        <w:tab w:val="right" w:leader="dot" w:pos="9071"/>
      </w:tabs>
      <w:spacing w:before="120" w:after="120" w:line="240" w:lineRule="auto"/>
      <w:ind w:left="794" w:hanging="794"/>
      <w:jc w:val="both"/>
    </w:pPr>
    <w:rPr>
      <w:rFonts w:ascii="Arial" w:eastAsia="Times New Roman" w:hAnsi="Arial" w:cs="Times New Roman"/>
      <w:b/>
      <w:smallCaps/>
      <w:noProof/>
      <w:kern w:val="0"/>
      <w:szCs w:val="24"/>
      <w14:ligatures w14:val="none"/>
    </w:rPr>
  </w:style>
  <w:style w:type="paragraph" w:styleId="TOC2">
    <w:name w:val="toc 2"/>
    <w:basedOn w:val="Normal"/>
    <w:next w:val="Normal"/>
    <w:autoRedefine/>
    <w:uiPriority w:val="39"/>
    <w:qFormat/>
    <w:rsid w:val="00C128BC"/>
    <w:pPr>
      <w:tabs>
        <w:tab w:val="left" w:pos="794"/>
        <w:tab w:val="right" w:leader="dot" w:pos="9071"/>
      </w:tabs>
      <w:spacing w:before="120" w:after="60" w:line="240" w:lineRule="auto"/>
      <w:ind w:left="794" w:hanging="794"/>
      <w:jc w:val="both"/>
    </w:pPr>
    <w:rPr>
      <w:rFonts w:ascii="Arial" w:eastAsia="Times New Roman" w:hAnsi="Arial" w:cs="Times New Roman"/>
      <w:b/>
      <w:smallCaps/>
      <w:noProof/>
      <w:kern w:val="0"/>
      <w:sz w:val="20"/>
      <w14:ligatures w14:val="none"/>
    </w:rPr>
  </w:style>
  <w:style w:type="paragraph" w:styleId="TOC3">
    <w:name w:val="toc 3"/>
    <w:basedOn w:val="Normal"/>
    <w:next w:val="Normal"/>
    <w:autoRedefine/>
    <w:uiPriority w:val="39"/>
    <w:qFormat/>
    <w:rsid w:val="00877CF6"/>
    <w:pPr>
      <w:tabs>
        <w:tab w:val="left" w:pos="794"/>
        <w:tab w:val="right" w:leader="dot" w:pos="9072"/>
      </w:tabs>
      <w:spacing w:before="120" w:after="60" w:line="240" w:lineRule="auto"/>
      <w:ind w:left="794" w:hanging="794"/>
      <w:jc w:val="both"/>
    </w:pPr>
    <w:rPr>
      <w:rFonts w:ascii="Verdana" w:eastAsia="Times New Roman" w:hAnsi="Verdana" w:cs="Times New Roman"/>
      <w:smallCaps/>
      <w:noProof/>
      <w:kern w:val="0"/>
      <w:sz w:val="20"/>
      <w:szCs w:val="24"/>
      <w14:ligatures w14:val="none"/>
    </w:rPr>
  </w:style>
  <w:style w:type="paragraph" w:styleId="TOC4">
    <w:name w:val="toc 4"/>
    <w:basedOn w:val="Normal"/>
    <w:next w:val="Normal"/>
    <w:autoRedefine/>
    <w:uiPriority w:val="39"/>
    <w:rsid w:val="00877CF6"/>
    <w:pPr>
      <w:tabs>
        <w:tab w:val="left" w:pos="794"/>
        <w:tab w:val="right" w:leader="dot" w:pos="9071"/>
      </w:tabs>
      <w:spacing w:before="120" w:after="40" w:line="240" w:lineRule="auto"/>
      <w:ind w:left="794" w:hanging="794"/>
      <w:jc w:val="both"/>
    </w:pPr>
    <w:rPr>
      <w:rFonts w:ascii="Verdana" w:eastAsia="Times New Roman" w:hAnsi="Verdana" w:cs="Times New Roman"/>
      <w:smallCaps/>
      <w:noProof/>
      <w:kern w:val="0"/>
      <w:sz w:val="18"/>
      <w:szCs w:val="18"/>
      <w14:ligatures w14:val="none"/>
    </w:rPr>
  </w:style>
  <w:style w:type="paragraph" w:styleId="TOC5">
    <w:name w:val="toc 5"/>
    <w:basedOn w:val="Normal"/>
    <w:next w:val="Normal"/>
    <w:autoRedefine/>
    <w:uiPriority w:val="39"/>
    <w:rsid w:val="00877CF6"/>
    <w:pPr>
      <w:tabs>
        <w:tab w:val="left" w:pos="794"/>
        <w:tab w:val="right" w:leader="dot" w:pos="9071"/>
      </w:tabs>
      <w:spacing w:before="120" w:after="40" w:line="240" w:lineRule="auto"/>
      <w:ind w:left="794" w:hanging="794"/>
      <w:jc w:val="both"/>
    </w:pPr>
    <w:rPr>
      <w:rFonts w:ascii="Verdana" w:eastAsia="Times New Roman" w:hAnsi="Verdana" w:cs="Times New Roman"/>
      <w:smallCaps/>
      <w:noProof/>
      <w:kern w:val="0"/>
      <w:sz w:val="18"/>
      <w:szCs w:val="18"/>
      <w14:ligatures w14:val="none"/>
    </w:rPr>
  </w:style>
  <w:style w:type="paragraph" w:styleId="TOC6">
    <w:name w:val="toc 6"/>
    <w:basedOn w:val="Normal"/>
    <w:next w:val="Normal"/>
    <w:autoRedefine/>
    <w:uiPriority w:val="39"/>
    <w:rsid w:val="00877CF6"/>
    <w:pPr>
      <w:tabs>
        <w:tab w:val="left" w:pos="2058"/>
        <w:tab w:val="right" w:leader="dot" w:pos="9071"/>
      </w:tabs>
      <w:spacing w:before="120" w:after="120" w:line="240" w:lineRule="auto"/>
      <w:ind w:left="1134" w:hanging="1134"/>
      <w:jc w:val="both"/>
    </w:pPr>
    <w:rPr>
      <w:rFonts w:ascii="Verdana" w:eastAsia="Times New Roman" w:hAnsi="Verdana" w:cs="Times New Roman"/>
      <w:noProof/>
      <w:kern w:val="0"/>
      <w:sz w:val="16"/>
      <w:szCs w:val="24"/>
      <w14:ligatures w14:val="none"/>
    </w:rPr>
  </w:style>
  <w:style w:type="paragraph" w:styleId="TOC7">
    <w:name w:val="toc 7"/>
    <w:basedOn w:val="Normal"/>
    <w:next w:val="Normal"/>
    <w:autoRedefine/>
    <w:uiPriority w:val="39"/>
    <w:rsid w:val="00877CF6"/>
    <w:pPr>
      <w:tabs>
        <w:tab w:val="right" w:leader="dot" w:pos="9071"/>
      </w:tabs>
      <w:spacing w:before="120" w:after="120" w:line="240" w:lineRule="auto"/>
      <w:ind w:left="1134" w:hanging="1134"/>
      <w:jc w:val="both"/>
    </w:pPr>
    <w:rPr>
      <w:rFonts w:ascii="Verdana" w:eastAsia="Times New Roman" w:hAnsi="Verdana" w:cs="Times New Roman"/>
      <w:kern w:val="0"/>
      <w:sz w:val="16"/>
      <w:szCs w:val="24"/>
      <w14:ligatures w14:val="none"/>
    </w:rPr>
  </w:style>
  <w:style w:type="paragraph" w:styleId="TOC8">
    <w:name w:val="toc 8"/>
    <w:basedOn w:val="Normal"/>
    <w:next w:val="Normal"/>
    <w:autoRedefine/>
    <w:uiPriority w:val="39"/>
    <w:rsid w:val="00877CF6"/>
    <w:pPr>
      <w:tabs>
        <w:tab w:val="left" w:pos="2758"/>
        <w:tab w:val="right" w:leader="dot" w:pos="9071"/>
      </w:tabs>
      <w:spacing w:before="120" w:after="120" w:line="240" w:lineRule="auto"/>
      <w:ind w:left="1361" w:hanging="1361"/>
      <w:jc w:val="both"/>
    </w:pPr>
    <w:rPr>
      <w:rFonts w:ascii="Verdana" w:eastAsia="Times New Roman" w:hAnsi="Verdana" w:cs="Times New Roman"/>
      <w:noProof/>
      <w:kern w:val="0"/>
      <w:sz w:val="16"/>
      <w:szCs w:val="24"/>
      <w14:ligatures w14:val="none"/>
    </w:rPr>
  </w:style>
  <w:style w:type="paragraph" w:styleId="TOC9">
    <w:name w:val="toc 9"/>
    <w:basedOn w:val="Normal"/>
    <w:next w:val="Normal"/>
    <w:autoRedefine/>
    <w:uiPriority w:val="39"/>
    <w:rsid w:val="00877CF6"/>
    <w:pPr>
      <w:tabs>
        <w:tab w:val="right" w:leader="dot" w:pos="9071"/>
      </w:tabs>
      <w:spacing w:before="120" w:after="120" w:line="240" w:lineRule="auto"/>
      <w:ind w:left="1361" w:hanging="1361"/>
      <w:jc w:val="both"/>
    </w:pPr>
    <w:rPr>
      <w:rFonts w:ascii="Verdana" w:eastAsia="Times New Roman" w:hAnsi="Verdana" w:cs="Times New Roman"/>
      <w:kern w:val="0"/>
      <w:sz w:val="16"/>
      <w:szCs w:val="24"/>
      <w14:ligatures w14:val="none"/>
    </w:rPr>
  </w:style>
  <w:style w:type="paragraph" w:styleId="Quote">
    <w:name w:val="Quote"/>
    <w:basedOn w:val="Normal"/>
    <w:next w:val="Normal"/>
    <w:link w:val="QuoteChar"/>
    <w:uiPriority w:val="29"/>
    <w:qFormat/>
    <w:rsid w:val="00877CF6"/>
    <w:pPr>
      <w:spacing w:before="120" w:after="120" w:line="240" w:lineRule="auto"/>
      <w:jc w:val="both"/>
    </w:pPr>
    <w:rPr>
      <w:rFonts w:ascii="Arial" w:eastAsia="Arial" w:hAnsi="Arial" w:cs="Times New Roman"/>
      <w:i/>
      <w:iCs/>
      <w:color w:val="000000"/>
      <w:kern w:val="0"/>
      <w:sz w:val="20"/>
      <w:szCs w:val="20"/>
      <w:lang w:val="x-none" w:eastAsia="de-DE"/>
      <w14:ligatures w14:val="none"/>
    </w:rPr>
  </w:style>
  <w:style w:type="character" w:customStyle="1" w:styleId="QuoteChar">
    <w:name w:val="Quote Char"/>
    <w:basedOn w:val="DefaultParagraphFont"/>
    <w:link w:val="Quote"/>
    <w:uiPriority w:val="29"/>
    <w:rsid w:val="00877CF6"/>
    <w:rPr>
      <w:rFonts w:ascii="Arial" w:eastAsia="Arial" w:hAnsi="Arial" w:cs="Times New Roman"/>
      <w:i/>
      <w:iCs/>
      <w:color w:val="000000"/>
      <w:kern w:val="0"/>
      <w:sz w:val="20"/>
      <w:szCs w:val="20"/>
      <w:lang w:val="x-none" w:eastAsia="de-DE"/>
      <w14:ligatures w14:val="none"/>
    </w:rPr>
  </w:style>
  <w:style w:type="paragraph" w:styleId="TOCHeading">
    <w:name w:val="TOC Heading"/>
    <w:basedOn w:val="Heading1"/>
    <w:next w:val="Normal"/>
    <w:uiPriority w:val="39"/>
    <w:qFormat/>
    <w:rsid w:val="00877CF6"/>
    <w:pPr>
      <w:autoSpaceDE w:val="0"/>
      <w:autoSpaceDN w:val="0"/>
      <w:adjustRightInd w:val="0"/>
      <w:spacing w:before="480" w:after="0" w:line="311" w:lineRule="auto"/>
      <w:outlineLvl w:val="9"/>
    </w:pPr>
    <w:rPr>
      <w:rFonts w:eastAsia="Arial"/>
      <w:b w:val="0"/>
      <w:bCs w:val="0"/>
      <w:color w:val="4B67A3"/>
      <w:sz w:val="20"/>
      <w:szCs w:val="28"/>
      <w:lang w:eastAsia="x-none"/>
    </w:rPr>
  </w:style>
  <w:style w:type="paragraph" w:styleId="EndnoteText">
    <w:name w:val="endnote text"/>
    <w:basedOn w:val="Normal"/>
    <w:link w:val="EndnoteTextChar"/>
    <w:uiPriority w:val="1"/>
    <w:rsid w:val="00877CF6"/>
    <w:pPr>
      <w:spacing w:before="120" w:after="120" w:line="180" w:lineRule="exact"/>
      <w:ind w:left="142" w:hanging="142"/>
      <w:jc w:val="both"/>
    </w:pPr>
    <w:rPr>
      <w:rFonts w:ascii="Arial" w:eastAsia="Arial" w:hAnsi="Arial" w:cs="Times New Roman"/>
      <w:kern w:val="0"/>
      <w:sz w:val="20"/>
      <w:szCs w:val="20"/>
      <w:lang w:val="x-none" w:eastAsia="de-DE"/>
      <w14:ligatures w14:val="none"/>
    </w:rPr>
  </w:style>
  <w:style w:type="character" w:customStyle="1" w:styleId="EndnoteTextChar">
    <w:name w:val="Endnote Text Char"/>
    <w:basedOn w:val="DefaultParagraphFont"/>
    <w:link w:val="EndnoteText"/>
    <w:uiPriority w:val="1"/>
    <w:rsid w:val="00877CF6"/>
    <w:rPr>
      <w:rFonts w:ascii="Arial" w:eastAsia="Arial" w:hAnsi="Arial" w:cs="Times New Roman"/>
      <w:kern w:val="0"/>
      <w:sz w:val="20"/>
      <w:szCs w:val="20"/>
      <w:lang w:val="x-none" w:eastAsia="de-DE"/>
      <w14:ligatures w14:val="none"/>
    </w:rPr>
  </w:style>
  <w:style w:type="character" w:styleId="EndnoteReference">
    <w:name w:val="endnote reference"/>
    <w:uiPriority w:val="1"/>
    <w:rsid w:val="00877CF6"/>
    <w:rPr>
      <w:rFonts w:ascii="Arial" w:hAnsi="Arial" w:cs="Times New Roman"/>
      <w:color w:val="auto"/>
      <w:position w:val="4"/>
      <w:sz w:val="12"/>
      <w:vertAlign w:val="baseline"/>
    </w:rPr>
  </w:style>
  <w:style w:type="paragraph" w:customStyle="1" w:styleId="Ballontekst">
    <w:name w:val="Ballontekst"/>
    <w:basedOn w:val="Normal"/>
    <w:uiPriority w:val="99"/>
    <w:semiHidden/>
    <w:rsid w:val="00877CF6"/>
    <w:pPr>
      <w:spacing w:before="120" w:after="120" w:line="240" w:lineRule="auto"/>
      <w:jc w:val="both"/>
    </w:pPr>
    <w:rPr>
      <w:rFonts w:ascii="Tahoma" w:eastAsia="Times New Roman" w:hAnsi="Tahoma" w:cs="Tahoma"/>
      <w:kern w:val="0"/>
      <w:sz w:val="16"/>
      <w:szCs w:val="16"/>
      <w14:ligatures w14:val="none"/>
    </w:rPr>
  </w:style>
  <w:style w:type="paragraph" w:customStyle="1" w:styleId="Onderwerpvanopmerking">
    <w:name w:val="Onderwerp van opmerking"/>
    <w:basedOn w:val="CommentText"/>
    <w:next w:val="CommentText"/>
    <w:uiPriority w:val="99"/>
    <w:semiHidden/>
    <w:rsid w:val="00877CF6"/>
    <w:pPr>
      <w:spacing w:before="120" w:after="120"/>
      <w:ind w:left="0" w:right="0" w:firstLine="0"/>
    </w:pPr>
    <w:rPr>
      <w:rFonts w:ascii="Verdana" w:eastAsia="Arial" w:hAnsi="Verdana"/>
      <w:b/>
      <w:bCs/>
      <w:color w:val="auto"/>
      <w:lang w:val="en-US" w:eastAsia="x-none"/>
    </w:rPr>
  </w:style>
  <w:style w:type="character" w:styleId="FollowedHyperlink">
    <w:name w:val="FollowedHyperlink"/>
    <w:uiPriority w:val="99"/>
    <w:rsid w:val="00877CF6"/>
    <w:rPr>
      <w:rFonts w:cs="Times New Roman"/>
      <w:color w:val="606420"/>
      <w:u w:val="single"/>
    </w:rPr>
  </w:style>
  <w:style w:type="paragraph" w:customStyle="1" w:styleId="Formatvorlageberschrift4">
    <w:name w:val="Formatvorlage Überschrift 4"/>
    <w:basedOn w:val="Heading4"/>
    <w:link w:val="Formatvorlageberschrift4Char"/>
    <w:uiPriority w:val="99"/>
    <w:rsid w:val="00877CF6"/>
    <w:pPr>
      <w:keepLines w:val="0"/>
      <w:spacing w:before="240" w:after="60" w:line="240" w:lineRule="auto"/>
      <w:ind w:left="360" w:hanging="360"/>
      <w:jc w:val="both"/>
    </w:pPr>
    <w:rPr>
      <w:rFonts w:ascii="Verdana" w:eastAsia="Times New Roman" w:hAnsi="Verdana" w:cs="Times New Roman"/>
      <w:b/>
      <w:i w:val="0"/>
      <w:color w:val="auto"/>
      <w:kern w:val="0"/>
      <w:sz w:val="20"/>
      <w:szCs w:val="28"/>
      <w:u w:val="single"/>
      <w14:ligatures w14:val="none"/>
    </w:rPr>
  </w:style>
  <w:style w:type="character" w:customStyle="1" w:styleId="Formatvorlageberschrift4Char">
    <w:name w:val="Formatvorlage Überschrift 4 Char"/>
    <w:link w:val="Formatvorlageberschrift4"/>
    <w:uiPriority w:val="99"/>
    <w:locked/>
    <w:rsid w:val="00877CF6"/>
    <w:rPr>
      <w:rFonts w:ascii="Verdana" w:eastAsia="Times New Roman" w:hAnsi="Verdana" w:cs="Times New Roman"/>
      <w:b/>
      <w:iCs/>
      <w:kern w:val="0"/>
      <w:sz w:val="20"/>
      <w:szCs w:val="28"/>
      <w:u w:val="single"/>
      <w14:ligatures w14:val="none"/>
    </w:rPr>
  </w:style>
  <w:style w:type="paragraph" w:customStyle="1" w:styleId="Instructionsberschrift1">
    <w:name w:val="Instructions Überschrift 1"/>
    <w:basedOn w:val="Heading1"/>
    <w:rsid w:val="00877CF6"/>
    <w:pPr>
      <w:tabs>
        <w:tab w:val="num" w:pos="540"/>
      </w:tabs>
      <w:autoSpaceDE w:val="0"/>
      <w:autoSpaceDN w:val="0"/>
      <w:adjustRightInd w:val="0"/>
      <w:spacing w:before="240" w:after="0" w:line="240" w:lineRule="auto"/>
      <w:ind w:left="540" w:hanging="540"/>
    </w:pPr>
    <w:rPr>
      <w:rFonts w:ascii="Verdana" w:eastAsia="Arial" w:hAnsi="Verdana"/>
      <w:kern w:val="32"/>
      <w:sz w:val="20"/>
      <w:szCs w:val="20"/>
      <w:lang w:eastAsia="x-none"/>
    </w:rPr>
  </w:style>
  <w:style w:type="paragraph" w:customStyle="1" w:styleId="Instructionsberschrift2">
    <w:name w:val="Instructions Überschrift 2"/>
    <w:basedOn w:val="Heading2"/>
    <w:rsid w:val="00877CF6"/>
    <w:pPr>
      <w:numPr>
        <w:numId w:val="10"/>
      </w:numPr>
      <w:spacing w:before="240" w:after="240" w:line="240" w:lineRule="auto"/>
    </w:pPr>
    <w:rPr>
      <w:rFonts w:ascii="Verdana" w:eastAsia="Arial" w:hAnsi="Verdana"/>
      <w:sz w:val="20"/>
      <w:szCs w:val="24"/>
      <w:lang w:val="en-US" w:eastAsia="x-none"/>
    </w:rPr>
  </w:style>
  <w:style w:type="paragraph" w:customStyle="1" w:styleId="Instructionsberschrift3">
    <w:name w:val="Instructions Überschrift 3"/>
    <w:basedOn w:val="Heading3"/>
    <w:link w:val="Instructionsberschrift3Zchn"/>
    <w:rsid w:val="00877CF6"/>
    <w:pPr>
      <w:keepLines w:val="0"/>
      <w:numPr>
        <w:numId w:val="11"/>
      </w:numPr>
      <w:spacing w:before="240" w:after="60" w:line="360" w:lineRule="auto"/>
      <w:jc w:val="both"/>
    </w:pPr>
    <w:rPr>
      <w:rFonts w:ascii="Verdana" w:eastAsia="Times New Roman" w:hAnsi="Verdana" w:cs="Times New Roman"/>
      <w:b/>
      <w:color w:val="auto"/>
      <w:kern w:val="0"/>
      <w:sz w:val="20"/>
      <w:szCs w:val="26"/>
      <w:u w:val="single"/>
      <w14:ligatures w14:val="none"/>
    </w:rPr>
  </w:style>
  <w:style w:type="character" w:customStyle="1" w:styleId="Instructionsberschrift3Zchn">
    <w:name w:val="Instructions Überschrift 3 Zchn"/>
    <w:link w:val="Instructionsberschrift3"/>
    <w:locked/>
    <w:rsid w:val="00877CF6"/>
    <w:rPr>
      <w:rFonts w:ascii="Verdana" w:eastAsia="Times New Roman" w:hAnsi="Verdana" w:cs="Times New Roman"/>
      <w:b/>
      <w:kern w:val="0"/>
      <w:sz w:val="20"/>
      <w:szCs w:val="26"/>
      <w:u w:val="single"/>
      <w14:ligatures w14:val="none"/>
    </w:rPr>
  </w:style>
  <w:style w:type="paragraph" w:customStyle="1" w:styleId="Instructionsberschrift4">
    <w:name w:val="Instructions Überschrift 4"/>
    <w:basedOn w:val="Heading4"/>
    <w:next w:val="InstructionsText"/>
    <w:link w:val="Instructionsberschrift4Char"/>
    <w:uiPriority w:val="99"/>
    <w:rsid w:val="00877CF6"/>
    <w:pPr>
      <w:keepLines w:val="0"/>
      <w:tabs>
        <w:tab w:val="left" w:pos="1520"/>
      </w:tabs>
      <w:autoSpaceDE w:val="0"/>
      <w:autoSpaceDN w:val="0"/>
      <w:adjustRightInd w:val="0"/>
      <w:spacing w:before="240" w:after="240" w:line="240" w:lineRule="auto"/>
      <w:ind w:left="970" w:hanging="970"/>
      <w:jc w:val="both"/>
    </w:pPr>
    <w:rPr>
      <w:rFonts w:ascii="Verdana" w:eastAsia="Times New Roman" w:hAnsi="Verdana" w:cs="Times New Roman"/>
      <w:b/>
      <w:bCs/>
      <w:i w:val="0"/>
      <w:iCs w:val="0"/>
      <w:color w:val="auto"/>
      <w:kern w:val="0"/>
      <w:sz w:val="20"/>
      <w:szCs w:val="24"/>
      <w:u w:val="single"/>
      <w14:ligatures w14:val="none"/>
    </w:rPr>
  </w:style>
  <w:style w:type="paragraph" w:customStyle="1" w:styleId="InstructionsText">
    <w:name w:val="Instructions Text"/>
    <w:basedOn w:val="Normal"/>
    <w:link w:val="InstructionsTextChar"/>
    <w:autoRedefine/>
    <w:rsid w:val="00877CF6"/>
    <w:pPr>
      <w:spacing w:after="120" w:line="240" w:lineRule="auto"/>
      <w:jc w:val="both"/>
    </w:pPr>
    <w:rPr>
      <w:rFonts w:ascii="Times New Roman" w:eastAsia="Times New Roman" w:hAnsi="Times New Roman" w:cs="Times New Roman"/>
      <w:kern w:val="0"/>
      <w:sz w:val="24"/>
      <w:szCs w:val="24"/>
      <w:lang w:eastAsia="de-DE"/>
      <w14:ligatures w14:val="none"/>
    </w:rPr>
  </w:style>
  <w:style w:type="character" w:customStyle="1" w:styleId="Instructionsberschrift4Char">
    <w:name w:val="Instructions Überschrift 4 Char"/>
    <w:link w:val="Instructionsberschrift4"/>
    <w:uiPriority w:val="99"/>
    <w:locked/>
    <w:rsid w:val="00877CF6"/>
    <w:rPr>
      <w:rFonts w:ascii="Verdana" w:eastAsia="Times New Roman" w:hAnsi="Verdana" w:cs="Times New Roman"/>
      <w:b/>
      <w:bCs/>
      <w:kern w:val="0"/>
      <w:sz w:val="20"/>
      <w:szCs w:val="24"/>
      <w:u w:val="single"/>
      <w14:ligatures w14:val="none"/>
    </w:rPr>
  </w:style>
  <w:style w:type="character" w:customStyle="1" w:styleId="InstructionsTabelleberschrift">
    <w:name w:val="Instructions Tabelle Überschrift"/>
    <w:qFormat/>
    <w:rsid w:val="00877CF6"/>
    <w:rPr>
      <w:rFonts w:ascii="Verdana" w:hAnsi="Verdana" w:cs="Times New Roman"/>
      <w:b/>
      <w:bCs/>
      <w:sz w:val="20"/>
      <w:u w:val="single"/>
    </w:rPr>
  </w:style>
  <w:style w:type="character" w:customStyle="1" w:styleId="InstructionsTabelleText">
    <w:name w:val="Instructions Tabelle Text"/>
    <w:rsid w:val="00877CF6"/>
    <w:rPr>
      <w:rFonts w:ascii="Verdana" w:hAnsi="Verdana" w:cs="Times New Roman"/>
      <w:sz w:val="20"/>
    </w:rPr>
  </w:style>
  <w:style w:type="character" w:customStyle="1" w:styleId="FormatvorlageInstructionsTabelleText">
    <w:name w:val="Formatvorlage Instructions Tabelle Text"/>
    <w:uiPriority w:val="99"/>
    <w:qFormat/>
    <w:rsid w:val="00877CF6"/>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77CF6"/>
    <w:pPr>
      <w:ind w:left="0" w:firstLine="0"/>
    </w:pPr>
    <w:rPr>
      <w:szCs w:val="20"/>
    </w:rPr>
  </w:style>
  <w:style w:type="paragraph" w:customStyle="1" w:styleId="Texte2">
    <w:name w:val="Texte 2"/>
    <w:basedOn w:val="Normal"/>
    <w:uiPriority w:val="99"/>
    <w:rsid w:val="00877CF6"/>
    <w:pPr>
      <w:spacing w:before="120" w:after="0" w:line="240" w:lineRule="auto"/>
      <w:ind w:left="567"/>
      <w:jc w:val="both"/>
    </w:pPr>
    <w:rPr>
      <w:rFonts w:ascii="Verdana" w:eastAsia="Times New Roman" w:hAnsi="Verdana" w:cs="Times New Roman"/>
      <w:kern w:val="0"/>
      <w:szCs w:val="20"/>
      <w:lang w:eastAsia="fr-FR"/>
      <w14:ligatures w14:val="none"/>
    </w:rPr>
  </w:style>
  <w:style w:type="paragraph" w:customStyle="1" w:styleId="Prrafodelista1">
    <w:name w:val="Párrafo de lista1"/>
    <w:basedOn w:val="Normal"/>
    <w:uiPriority w:val="99"/>
    <w:rsid w:val="00877CF6"/>
    <w:pPr>
      <w:spacing w:before="120" w:after="120" w:line="240" w:lineRule="auto"/>
      <w:ind w:left="720"/>
      <w:jc w:val="both"/>
    </w:pPr>
    <w:rPr>
      <w:rFonts w:ascii="Verdana" w:eastAsia="Times New Roman" w:hAnsi="Verdana" w:cs="Times New Roman"/>
      <w:kern w:val="0"/>
      <w:sz w:val="20"/>
      <w:szCs w:val="24"/>
      <w14:ligatures w14:val="none"/>
    </w:rPr>
  </w:style>
  <w:style w:type="paragraph" w:customStyle="1" w:styleId="Prrafodelista2">
    <w:name w:val="Párrafo de lista2"/>
    <w:basedOn w:val="Normal"/>
    <w:uiPriority w:val="99"/>
    <w:rsid w:val="00877CF6"/>
    <w:pPr>
      <w:spacing w:before="120" w:after="120" w:line="240" w:lineRule="auto"/>
      <w:ind w:left="708"/>
      <w:jc w:val="both"/>
    </w:pPr>
    <w:rPr>
      <w:rFonts w:ascii="Verdana" w:eastAsia="Times New Roman" w:hAnsi="Verdana" w:cs="Times New Roman"/>
      <w:kern w:val="0"/>
      <w:sz w:val="20"/>
      <w:szCs w:val="24"/>
      <w14:ligatures w14:val="none"/>
    </w:rPr>
  </w:style>
  <w:style w:type="paragraph" w:styleId="PlainText">
    <w:name w:val="Plain Text"/>
    <w:basedOn w:val="Normal"/>
    <w:link w:val="PlainTextChar"/>
    <w:uiPriority w:val="99"/>
    <w:rsid w:val="00877CF6"/>
    <w:pPr>
      <w:spacing w:after="0" w:line="240" w:lineRule="auto"/>
    </w:pPr>
    <w:rPr>
      <w:rFonts w:ascii="Verdana" w:eastAsia="Arial" w:hAnsi="Verdana" w:cs="Times New Roman"/>
      <w:kern w:val="0"/>
      <w:sz w:val="20"/>
      <w:szCs w:val="20"/>
      <w:lang w:val="es-ES_tradnl" w:eastAsia="es-ES_tradnl"/>
      <w14:ligatures w14:val="none"/>
    </w:rPr>
  </w:style>
  <w:style w:type="character" w:customStyle="1" w:styleId="PlainTextChar">
    <w:name w:val="Plain Text Char"/>
    <w:basedOn w:val="DefaultParagraphFont"/>
    <w:link w:val="PlainText"/>
    <w:uiPriority w:val="99"/>
    <w:rsid w:val="00877CF6"/>
    <w:rPr>
      <w:rFonts w:ascii="Verdana" w:eastAsia="Arial" w:hAnsi="Verdana" w:cs="Times New Roman"/>
      <w:kern w:val="0"/>
      <w:sz w:val="20"/>
      <w:szCs w:val="20"/>
      <w:lang w:val="es-ES_tradnl" w:eastAsia="es-ES_tradnl"/>
      <w14:ligatures w14:val="none"/>
    </w:rPr>
  </w:style>
  <w:style w:type="paragraph" w:customStyle="1" w:styleId="Listenabsatz1">
    <w:name w:val="Listenabsatz1"/>
    <w:basedOn w:val="Normal"/>
    <w:uiPriority w:val="99"/>
    <w:rsid w:val="00877CF6"/>
    <w:pPr>
      <w:spacing w:before="120" w:after="120" w:line="240" w:lineRule="auto"/>
      <w:ind w:left="708"/>
      <w:jc w:val="both"/>
    </w:pPr>
    <w:rPr>
      <w:rFonts w:ascii="Verdana" w:eastAsia="Times New Roman" w:hAnsi="Verdana" w:cs="Times New Roman"/>
      <w:kern w:val="0"/>
      <w:sz w:val="20"/>
      <w:szCs w:val="24"/>
      <w14:ligatures w14:val="none"/>
    </w:rPr>
  </w:style>
  <w:style w:type="character" w:customStyle="1" w:styleId="InstructionsTextChar">
    <w:name w:val="Instructions Text Char"/>
    <w:link w:val="InstructionsText"/>
    <w:locked/>
    <w:rsid w:val="00877CF6"/>
    <w:rPr>
      <w:rFonts w:ascii="Times New Roman" w:eastAsia="Times New Roman" w:hAnsi="Times New Roman" w:cs="Times New Roman"/>
      <w:kern w:val="0"/>
      <w:sz w:val="24"/>
      <w:szCs w:val="24"/>
      <w:lang w:eastAsia="de-DE"/>
      <w14:ligatures w14:val="none"/>
    </w:rPr>
  </w:style>
  <w:style w:type="character" w:styleId="PlaceholderText">
    <w:name w:val="Placeholder Text"/>
    <w:uiPriority w:val="99"/>
    <w:semiHidden/>
    <w:rsid w:val="00877CF6"/>
    <w:rPr>
      <w:rFonts w:cs="Times New Roman"/>
      <w:color w:val="808080"/>
    </w:rPr>
  </w:style>
  <w:style w:type="paragraph" w:customStyle="1" w:styleId="InstructionsText2">
    <w:name w:val="Instructions Text 2"/>
    <w:basedOn w:val="InstructionsText"/>
    <w:qFormat/>
    <w:rsid w:val="00877CF6"/>
    <w:pPr>
      <w:numPr>
        <w:numId w:val="12"/>
      </w:numPr>
      <w:spacing w:after="240"/>
      <w:ind w:left="757"/>
    </w:pPr>
  </w:style>
  <w:style w:type="character" w:customStyle="1" w:styleId="Instructionsberschrift3Char">
    <w:name w:val="Instructions Überschrift 3 Char"/>
    <w:locked/>
    <w:rsid w:val="00877CF6"/>
    <w:rPr>
      <w:rFonts w:ascii="Verdana" w:hAnsi="Verdana" w:cs="Arial"/>
      <w:b/>
      <w:bCs/>
      <w:sz w:val="26"/>
      <w:szCs w:val="26"/>
      <w:u w:val="single"/>
      <w:lang w:val="en-US" w:eastAsia="en-US" w:bidi="ar-SA"/>
    </w:rPr>
  </w:style>
  <w:style w:type="paragraph" w:customStyle="1" w:styleId="CM4">
    <w:name w:val="CM4"/>
    <w:basedOn w:val="Normal"/>
    <w:next w:val="Normal"/>
    <w:uiPriority w:val="99"/>
    <w:rsid w:val="00877CF6"/>
    <w:pPr>
      <w:autoSpaceDE w:val="0"/>
      <w:autoSpaceDN w:val="0"/>
      <w:adjustRightInd w:val="0"/>
      <w:spacing w:after="0" w:line="240" w:lineRule="auto"/>
    </w:pPr>
    <w:rPr>
      <w:rFonts w:ascii="Times New Roman" w:eastAsia="Arial" w:hAnsi="Times New Roman" w:cs="Times New Roman"/>
      <w:kern w:val="0"/>
      <w:sz w:val="24"/>
      <w:szCs w:val="24"/>
      <w:lang w:val="de-DE"/>
      <w14:ligatures w14:val="none"/>
    </w:rPr>
  </w:style>
  <w:style w:type="paragraph" w:styleId="DocumentMap">
    <w:name w:val="Document Map"/>
    <w:basedOn w:val="Normal"/>
    <w:link w:val="DocumentMapChar"/>
    <w:uiPriority w:val="99"/>
    <w:semiHidden/>
    <w:rsid w:val="00877CF6"/>
    <w:pPr>
      <w:spacing w:after="0" w:line="240" w:lineRule="auto"/>
      <w:jc w:val="both"/>
    </w:pPr>
    <w:rPr>
      <w:rFonts w:ascii="Tahoma" w:eastAsia="Arial" w:hAnsi="Tahoma" w:cs="Times New Roman"/>
      <w:kern w:val="0"/>
      <w:sz w:val="16"/>
      <w:szCs w:val="16"/>
      <w:lang w:val="en-US" w:eastAsia="x-none"/>
      <w14:ligatures w14:val="none"/>
    </w:rPr>
  </w:style>
  <w:style w:type="character" w:customStyle="1" w:styleId="DocumentMapChar">
    <w:name w:val="Document Map Char"/>
    <w:basedOn w:val="DefaultParagraphFont"/>
    <w:link w:val="DocumentMap"/>
    <w:uiPriority w:val="99"/>
    <w:semiHidden/>
    <w:rsid w:val="00877CF6"/>
    <w:rPr>
      <w:rFonts w:ascii="Tahoma" w:eastAsia="Arial" w:hAnsi="Tahoma" w:cs="Times New Roman"/>
      <w:kern w:val="0"/>
      <w:sz w:val="16"/>
      <w:szCs w:val="16"/>
      <w:lang w:val="en-US" w:eastAsia="x-none"/>
      <w14:ligatures w14:val="none"/>
    </w:rPr>
  </w:style>
  <w:style w:type="paragraph" w:customStyle="1" w:styleId="Titrearticle">
    <w:name w:val="Titre article"/>
    <w:basedOn w:val="Normal"/>
    <w:next w:val="Normal"/>
    <w:rsid w:val="00877CF6"/>
    <w:pPr>
      <w:keepNext/>
      <w:spacing w:before="360" w:after="120" w:line="240" w:lineRule="auto"/>
      <w:jc w:val="center"/>
    </w:pPr>
    <w:rPr>
      <w:rFonts w:ascii="Times New Roman" w:eastAsia="Times New Roman" w:hAnsi="Times New Roman" w:cs="Times New Roman"/>
      <w:i/>
      <w:kern w:val="0"/>
      <w:sz w:val="24"/>
      <w:szCs w:val="24"/>
      <w:lang w:eastAsia="de-DE"/>
      <w14:ligatures w14:val="none"/>
    </w:rPr>
  </w:style>
  <w:style w:type="paragraph" w:customStyle="1" w:styleId="Baseparagraphnumbered">
    <w:name w:val="Base paragraph numbered"/>
    <w:basedOn w:val="Normal"/>
    <w:link w:val="BaseparagraphnumberedChar"/>
    <w:qFormat/>
    <w:rsid w:val="00877CF6"/>
    <w:pPr>
      <w:numPr>
        <w:numId w:val="13"/>
      </w:numPr>
      <w:spacing w:after="240" w:line="240" w:lineRule="auto"/>
      <w:jc w:val="both"/>
    </w:pPr>
    <w:rPr>
      <w:rFonts w:ascii="Times New Roman" w:eastAsia="Arial" w:hAnsi="Times New Roman" w:cs="Times New Roman"/>
      <w:kern w:val="0"/>
      <w:sz w:val="24"/>
      <w:szCs w:val="20"/>
      <w:lang w:eastAsia="en-GB"/>
      <w14:ligatures w14:val="none"/>
    </w:rPr>
  </w:style>
  <w:style w:type="character" w:customStyle="1" w:styleId="BaseparagraphnumberedChar">
    <w:name w:val="Base paragraph numbered Char"/>
    <w:link w:val="Baseparagraphnumbered"/>
    <w:locked/>
    <w:rsid w:val="00877CF6"/>
    <w:rPr>
      <w:rFonts w:ascii="Times New Roman" w:eastAsia="Arial" w:hAnsi="Times New Roman" w:cs="Times New Roman"/>
      <w:kern w:val="0"/>
      <w:sz w:val="24"/>
      <w:szCs w:val="20"/>
      <w:lang w:eastAsia="en-GB"/>
      <w14:ligatures w14:val="none"/>
    </w:rPr>
  </w:style>
  <w:style w:type="character" w:customStyle="1" w:styleId="NumPar1Char">
    <w:name w:val="NumPar 1 Char"/>
    <w:link w:val="NumPar1"/>
    <w:uiPriority w:val="99"/>
    <w:locked/>
    <w:rsid w:val="00877CF6"/>
    <w:rPr>
      <w:rFonts w:cs="Times New Roman"/>
      <w:sz w:val="24"/>
      <w:szCs w:val="24"/>
      <w:lang w:eastAsia="de-DE"/>
    </w:rPr>
  </w:style>
  <w:style w:type="paragraph" w:customStyle="1" w:styleId="NumPar1">
    <w:name w:val="NumPar 1"/>
    <w:basedOn w:val="Normal"/>
    <w:next w:val="Normal"/>
    <w:link w:val="NumPar1Char"/>
    <w:uiPriority w:val="99"/>
    <w:rsid w:val="00877CF6"/>
    <w:pPr>
      <w:tabs>
        <w:tab w:val="num" w:pos="850"/>
      </w:tabs>
      <w:spacing w:before="120" w:after="120" w:line="240" w:lineRule="auto"/>
      <w:ind w:left="850" w:hanging="850"/>
      <w:jc w:val="both"/>
    </w:pPr>
    <w:rPr>
      <w:rFonts w:cs="Times New Roman"/>
      <w:sz w:val="24"/>
      <w:szCs w:val="24"/>
      <w:lang w:eastAsia="de-DE"/>
    </w:rPr>
  </w:style>
  <w:style w:type="character" w:customStyle="1" w:styleId="Point1letterChar">
    <w:name w:val="Point 1 (letter) Char"/>
    <w:link w:val="Point1letter"/>
    <w:uiPriority w:val="99"/>
    <w:locked/>
    <w:rsid w:val="00877CF6"/>
    <w:rPr>
      <w:rFonts w:cs="Times New Roman"/>
      <w:sz w:val="24"/>
      <w:szCs w:val="24"/>
    </w:rPr>
  </w:style>
  <w:style w:type="paragraph" w:customStyle="1" w:styleId="Point1letter">
    <w:name w:val="Point 1 (letter)"/>
    <w:basedOn w:val="Normal"/>
    <w:link w:val="Point1letterChar"/>
    <w:uiPriority w:val="99"/>
    <w:rsid w:val="00877CF6"/>
    <w:pPr>
      <w:tabs>
        <w:tab w:val="num" w:pos="360"/>
      </w:tabs>
      <w:spacing w:before="120" w:after="120" w:line="240" w:lineRule="auto"/>
      <w:ind w:left="1417" w:hanging="567"/>
      <w:jc w:val="both"/>
    </w:pPr>
    <w:rPr>
      <w:rFonts w:cs="Times New Roman"/>
      <w:sz w:val="24"/>
      <w:szCs w:val="24"/>
    </w:rPr>
  </w:style>
  <w:style w:type="numbering" w:customStyle="1" w:styleId="Formatvorlage2">
    <w:name w:val="Formatvorlage2"/>
    <w:uiPriority w:val="99"/>
    <w:rsid w:val="00877CF6"/>
    <w:pPr>
      <w:numPr>
        <w:numId w:val="5"/>
      </w:numPr>
    </w:pPr>
  </w:style>
  <w:style w:type="numbering" w:customStyle="1" w:styleId="Formatvorlage3">
    <w:name w:val="Formatvorlage3"/>
    <w:uiPriority w:val="99"/>
    <w:rsid w:val="00877CF6"/>
    <w:pPr>
      <w:numPr>
        <w:numId w:val="25"/>
      </w:numPr>
    </w:pPr>
  </w:style>
  <w:style w:type="numbering" w:customStyle="1" w:styleId="Formatvorlage1">
    <w:name w:val="Formatvorlage1"/>
    <w:uiPriority w:val="99"/>
    <w:rsid w:val="00877CF6"/>
    <w:pPr>
      <w:numPr>
        <w:numId w:val="24"/>
      </w:numPr>
    </w:pPr>
  </w:style>
  <w:style w:type="numbering" w:customStyle="1" w:styleId="Formatvorlage4">
    <w:name w:val="Formatvorlage4"/>
    <w:uiPriority w:val="99"/>
    <w:rsid w:val="00877CF6"/>
    <w:pPr>
      <w:numPr>
        <w:numId w:val="26"/>
      </w:numPr>
    </w:pPr>
  </w:style>
  <w:style w:type="paragraph" w:customStyle="1" w:styleId="ListParagraph1">
    <w:name w:val="List Paragraph1"/>
    <w:basedOn w:val="Normal"/>
    <w:uiPriority w:val="99"/>
    <w:qFormat/>
    <w:rsid w:val="00877CF6"/>
    <w:pPr>
      <w:spacing w:before="120" w:after="120" w:line="240" w:lineRule="auto"/>
      <w:ind w:left="708"/>
      <w:jc w:val="both"/>
    </w:pPr>
    <w:rPr>
      <w:rFonts w:ascii="Verdana" w:eastAsia="Times New Roman" w:hAnsi="Verdana" w:cs="Times New Roman"/>
      <w:kern w:val="0"/>
      <w:sz w:val="20"/>
      <w:szCs w:val="24"/>
      <w14:ligatures w14:val="none"/>
    </w:rPr>
  </w:style>
  <w:style w:type="paragraph" w:customStyle="1" w:styleId="Anfhrungszeichen1">
    <w:name w:val="Anführungszeichen1"/>
    <w:basedOn w:val="Normal"/>
    <w:next w:val="Normal"/>
    <w:link w:val="AnfhrungszeichenZchn"/>
    <w:uiPriority w:val="29"/>
    <w:semiHidden/>
    <w:rsid w:val="00877CF6"/>
    <w:pPr>
      <w:spacing w:before="120" w:after="120" w:line="240" w:lineRule="auto"/>
      <w:jc w:val="both"/>
    </w:pPr>
    <w:rPr>
      <w:rFonts w:ascii="Verdana" w:eastAsia="Times New Roman" w:hAnsi="Verdana" w:cs="Times New Roman"/>
      <w:i/>
      <w:iCs/>
      <w:color w:val="000000"/>
      <w:kern w:val="0"/>
      <w:sz w:val="20"/>
      <w:szCs w:val="24"/>
      <w14:ligatures w14:val="none"/>
    </w:rPr>
  </w:style>
  <w:style w:type="character" w:customStyle="1" w:styleId="AnfhrungszeichenZchn">
    <w:name w:val="Anführungszeichen Zchn"/>
    <w:link w:val="Anfhrungszeichen1"/>
    <w:uiPriority w:val="29"/>
    <w:semiHidden/>
    <w:rsid w:val="00877CF6"/>
    <w:rPr>
      <w:rFonts w:ascii="Verdana" w:eastAsia="Times New Roman" w:hAnsi="Verdana" w:cs="Times New Roman"/>
      <w:i/>
      <w:iCs/>
      <w:color w:val="000000"/>
      <w:kern w:val="0"/>
      <w:sz w:val="20"/>
      <w:szCs w:val="24"/>
      <w14:ligatures w14:val="none"/>
    </w:rPr>
  </w:style>
  <w:style w:type="paragraph" w:customStyle="1" w:styleId="Inhaltsverzeichnisberschrift1">
    <w:name w:val="Inhaltsverzeichnisüberschrift1"/>
    <w:basedOn w:val="Heading1"/>
    <w:next w:val="Normal"/>
    <w:uiPriority w:val="39"/>
    <w:semiHidden/>
    <w:unhideWhenUsed/>
    <w:qFormat/>
    <w:rsid w:val="00877CF6"/>
    <w:pPr>
      <w:autoSpaceDE w:val="0"/>
      <w:autoSpaceDN w:val="0"/>
      <w:adjustRightInd w:val="0"/>
      <w:spacing w:before="480" w:after="0" w:line="311" w:lineRule="auto"/>
      <w:outlineLvl w:val="9"/>
    </w:pPr>
    <w:rPr>
      <w:rFonts w:eastAsia="Arial"/>
      <w:b w:val="0"/>
      <w:bCs w:val="0"/>
      <w:color w:val="4B67A3"/>
      <w:sz w:val="20"/>
      <w:szCs w:val="28"/>
      <w:lang w:eastAsia="x-none"/>
    </w:rPr>
  </w:style>
  <w:style w:type="paragraph" w:customStyle="1" w:styleId="berarbeitung1">
    <w:name w:val="Überarbeitung1"/>
    <w:hidden/>
    <w:uiPriority w:val="99"/>
    <w:semiHidden/>
    <w:rsid w:val="00877CF6"/>
    <w:pPr>
      <w:spacing w:after="0" w:line="240" w:lineRule="auto"/>
    </w:pPr>
    <w:rPr>
      <w:rFonts w:ascii="Verdana" w:eastAsia="Times New Roman" w:hAnsi="Verdana" w:cs="Times New Roman"/>
      <w:kern w:val="0"/>
      <w:sz w:val="20"/>
      <w:szCs w:val="24"/>
      <w:lang w:val="en-US"/>
      <w14:ligatures w14:val="none"/>
    </w:rPr>
  </w:style>
  <w:style w:type="paragraph" w:customStyle="1" w:styleId="Listenabsatz2">
    <w:name w:val="Listenabsatz2"/>
    <w:basedOn w:val="Normal"/>
    <w:uiPriority w:val="99"/>
    <w:qFormat/>
    <w:rsid w:val="00877CF6"/>
    <w:pPr>
      <w:spacing w:before="120" w:after="120" w:line="240" w:lineRule="auto"/>
      <w:ind w:left="708"/>
      <w:jc w:val="both"/>
    </w:pPr>
    <w:rPr>
      <w:rFonts w:ascii="Verdana" w:eastAsia="Times New Roman" w:hAnsi="Verdana" w:cs="Times New Roman"/>
      <w:kern w:val="0"/>
      <w:sz w:val="20"/>
      <w:szCs w:val="24"/>
      <w14:ligatures w14:val="none"/>
    </w:rPr>
  </w:style>
  <w:style w:type="character" w:customStyle="1" w:styleId="Platzhaltertext1">
    <w:name w:val="Platzhaltertext1"/>
    <w:uiPriority w:val="99"/>
    <w:semiHidden/>
    <w:rsid w:val="00877CF6"/>
    <w:rPr>
      <w:color w:val="808080"/>
    </w:rPr>
  </w:style>
  <w:style w:type="paragraph" w:customStyle="1" w:styleId="Default">
    <w:name w:val="Default"/>
    <w:rsid w:val="00877CF6"/>
    <w:pPr>
      <w:autoSpaceDE w:val="0"/>
      <w:autoSpaceDN w:val="0"/>
      <w:adjustRightInd w:val="0"/>
      <w:spacing w:after="0" w:line="240" w:lineRule="auto"/>
    </w:pPr>
    <w:rPr>
      <w:rFonts w:ascii="Arial" w:eastAsia="Arial" w:hAnsi="Arial" w:cs="Arial"/>
      <w:color w:val="000000"/>
      <w:kern w:val="0"/>
      <w:sz w:val="24"/>
      <w:szCs w:val="24"/>
      <w:lang w:eastAsia="en-GB"/>
      <w14:ligatures w14:val="none"/>
    </w:rPr>
  </w:style>
  <w:style w:type="paragraph" w:customStyle="1" w:styleId="CM1">
    <w:name w:val="CM1"/>
    <w:basedOn w:val="Default"/>
    <w:next w:val="Default"/>
    <w:uiPriority w:val="99"/>
    <w:rsid w:val="00877CF6"/>
    <w:rPr>
      <w:rFonts w:ascii="EU Albertina" w:hAnsi="EU Albertina" w:cs="Times New Roman"/>
      <w:color w:val="auto"/>
    </w:rPr>
  </w:style>
  <w:style w:type="paragraph" w:customStyle="1" w:styleId="CM3">
    <w:name w:val="CM3"/>
    <w:basedOn w:val="Default"/>
    <w:next w:val="Default"/>
    <w:uiPriority w:val="99"/>
    <w:rsid w:val="00877CF6"/>
    <w:rPr>
      <w:rFonts w:ascii="EU Albertina" w:hAnsi="EU Albertina" w:cs="Times New Roman"/>
      <w:color w:val="auto"/>
    </w:rPr>
  </w:style>
  <w:style w:type="character" w:styleId="Emphasis">
    <w:name w:val="Emphasis"/>
    <w:basedOn w:val="DefaultParagraphFont"/>
    <w:uiPriority w:val="20"/>
    <w:qFormat/>
    <w:rsid w:val="00877CF6"/>
    <w:rPr>
      <w:i/>
      <w:iCs/>
    </w:rPr>
  </w:style>
  <w:style w:type="paragraph" w:customStyle="1" w:styleId="TableMainHeading">
    <w:name w:val="TableMainHeading"/>
    <w:basedOn w:val="Normal"/>
    <w:next w:val="Normal"/>
    <w:uiPriority w:val="99"/>
    <w:rsid w:val="00877CF6"/>
    <w:pPr>
      <w:spacing w:before="120" w:after="120" w:line="240" w:lineRule="auto"/>
    </w:pPr>
    <w:rPr>
      <w:rFonts w:ascii="Segoe UI" w:eastAsia="Times New Roman" w:hAnsi="Segoe UI" w:cs="Times New Roman"/>
      <w:kern w:val="0"/>
      <w:szCs w:val="20"/>
      <w14:ligatures w14:val="none"/>
    </w:rPr>
  </w:style>
  <w:style w:type="paragraph" w:customStyle="1" w:styleId="body">
    <w:name w:val="body"/>
    <w:qFormat/>
    <w:rsid w:val="00877CF6"/>
    <w:pPr>
      <w:spacing w:before="240" w:after="120"/>
      <w:jc w:val="both"/>
    </w:pPr>
    <w:rPr>
      <w:rFonts w:eastAsiaTheme="minorEastAsia"/>
      <w:kern w:val="0"/>
      <w:szCs w:val="24"/>
      <w:lang w:val="en-US"/>
      <w14:ligatures w14:val="none"/>
    </w:rPr>
  </w:style>
  <w:style w:type="paragraph" w:customStyle="1" w:styleId="Applicationdirecte">
    <w:name w:val="Application directe"/>
    <w:basedOn w:val="Normal"/>
    <w:next w:val="Fait"/>
    <w:rsid w:val="00877CF6"/>
    <w:pPr>
      <w:spacing w:before="480" w:after="120" w:line="240" w:lineRule="auto"/>
      <w:jc w:val="both"/>
    </w:pPr>
    <w:rPr>
      <w:rFonts w:ascii="Times New Roman" w:eastAsia="Times New Roman" w:hAnsi="Times New Roman" w:cs="Times New Roman"/>
      <w:kern w:val="0"/>
      <w:sz w:val="24"/>
      <w:szCs w:val="24"/>
      <w14:ligatures w14:val="none"/>
    </w:rPr>
  </w:style>
  <w:style w:type="paragraph" w:customStyle="1" w:styleId="Fait">
    <w:name w:val="Fait à"/>
    <w:basedOn w:val="Normal"/>
    <w:next w:val="Normal"/>
    <w:rsid w:val="00877CF6"/>
    <w:pPr>
      <w:keepNext/>
      <w:spacing w:before="120" w:after="0" w:line="240" w:lineRule="auto"/>
      <w:jc w:val="both"/>
    </w:pPr>
    <w:rPr>
      <w:rFonts w:ascii="Times New Roman" w:eastAsia="Times New Roman" w:hAnsi="Times New Roman" w:cs="Times New Roman"/>
      <w:kern w:val="0"/>
      <w:sz w:val="24"/>
      <w:szCs w:val="24"/>
      <w14:ligatures w14:val="none"/>
    </w:rPr>
  </w:style>
  <w:style w:type="paragraph" w:customStyle="1" w:styleId="Numberedtilelevel1">
    <w:name w:val="Numbered tile level 1"/>
    <w:basedOn w:val="Titlelevel1"/>
    <w:qFormat/>
    <w:rsid w:val="00877CF6"/>
    <w:pPr>
      <w:numPr>
        <w:numId w:val="19"/>
      </w:numPr>
    </w:pPr>
  </w:style>
  <w:style w:type="paragraph" w:customStyle="1" w:styleId="Numberedtitlelevel2">
    <w:name w:val="Numbered title level 2"/>
    <w:basedOn w:val="Titlelevel2"/>
    <w:next w:val="body"/>
    <w:qFormat/>
    <w:rsid w:val="00877CF6"/>
    <w:pPr>
      <w:numPr>
        <w:ilvl w:val="1"/>
        <w:numId w:val="19"/>
      </w:numPr>
    </w:pPr>
  </w:style>
  <w:style w:type="paragraph" w:customStyle="1" w:styleId="Titlelevel2">
    <w:name w:val="Title level 2"/>
    <w:qFormat/>
    <w:rsid w:val="00877CF6"/>
    <w:pPr>
      <w:spacing w:before="240" w:after="240" w:line="240" w:lineRule="auto"/>
    </w:pPr>
    <w:rPr>
      <w:rFonts w:asciiTheme="majorHAnsi" w:eastAsiaTheme="majorEastAsia" w:hAnsiTheme="majorHAnsi" w:cstheme="majorBidi"/>
      <w:bCs/>
      <w:color w:val="1F497D" w:themeColor="text2"/>
      <w:kern w:val="0"/>
      <w:sz w:val="32"/>
      <w:szCs w:val="24"/>
      <w:lang w:val="en-US"/>
      <w14:ligatures w14:val="none"/>
    </w:rPr>
  </w:style>
  <w:style w:type="paragraph" w:customStyle="1" w:styleId="Tableheader">
    <w:name w:val="Table header"/>
    <w:next w:val="Tabledata"/>
    <w:qFormat/>
    <w:rsid w:val="00877CF6"/>
    <w:pPr>
      <w:spacing w:after="80" w:line="240" w:lineRule="auto"/>
    </w:pPr>
    <w:rPr>
      <w:rFonts w:ascii="Calibri" w:eastAsia="Times New Roman" w:hAnsi="Calibri" w:cs="Times New Roman"/>
      <w:b/>
      <w:color w:val="000000"/>
      <w:kern w:val="0"/>
      <w:lang w:val="en-US"/>
      <w14:ligatures w14:val="none"/>
    </w:rPr>
  </w:style>
  <w:style w:type="paragraph" w:customStyle="1" w:styleId="Tabledata">
    <w:name w:val="Table data"/>
    <w:basedOn w:val="body"/>
    <w:qFormat/>
    <w:rsid w:val="00877CF6"/>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877CF6"/>
    <w:pPr>
      <w:numPr>
        <w:numId w:val="17"/>
      </w:numPr>
      <w:spacing w:after="0" w:line="240" w:lineRule="auto"/>
    </w:pPr>
    <w:rPr>
      <w:rFonts w:eastAsiaTheme="minorEastAsia"/>
      <w:kern w:val="0"/>
      <w:lang w:val="en-US"/>
      <w14:ligatures w14:val="none"/>
    </w:rPr>
  </w:style>
  <w:style w:type="table" w:styleId="TableProfessional">
    <w:name w:val="Table Professional"/>
    <w:basedOn w:val="TableNormal"/>
    <w:uiPriority w:val="99"/>
    <w:semiHidden/>
    <w:unhideWhenUsed/>
    <w:rsid w:val="00877CF6"/>
    <w:pPr>
      <w:spacing w:after="0" w:line="240" w:lineRule="auto"/>
    </w:pPr>
    <w:rPr>
      <w:rFonts w:eastAsiaTheme="minorEastAsia"/>
      <w:kern w:val="0"/>
      <w:sz w:val="24"/>
      <w:szCs w:val="24"/>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877CF6"/>
    <w:pPr>
      <w:numPr>
        <w:numId w:val="18"/>
      </w:numPr>
      <w:spacing w:before="240" w:after="120" w:line="240" w:lineRule="auto"/>
      <w:contextualSpacing/>
    </w:pPr>
    <w:rPr>
      <w:rFonts w:eastAsiaTheme="minorEastAsia"/>
      <w:kern w:val="0"/>
      <w:szCs w:val="24"/>
      <w:lang w:val="en-US"/>
      <w14:ligatures w14:val="none"/>
    </w:rPr>
  </w:style>
  <w:style w:type="paragraph" w:customStyle="1" w:styleId="Titlelevel1">
    <w:name w:val="Title level 1"/>
    <w:autoRedefine/>
    <w:qFormat/>
    <w:rsid w:val="00877CF6"/>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val="en-US"/>
      <w14:ligatures w14:val="none"/>
    </w:rPr>
  </w:style>
  <w:style w:type="paragraph" w:customStyle="1" w:styleId="Titlelevel3">
    <w:name w:val="Title level 3"/>
    <w:qFormat/>
    <w:rsid w:val="00877CF6"/>
    <w:pPr>
      <w:spacing w:before="240" w:after="240" w:line="240" w:lineRule="auto"/>
    </w:pPr>
    <w:rPr>
      <w:rFonts w:eastAsiaTheme="minorEastAsia"/>
      <w:b/>
      <w:color w:val="1F497D" w:themeColor="text2"/>
      <w:kern w:val="0"/>
      <w:sz w:val="24"/>
      <w:szCs w:val="24"/>
      <w:lang w:val="en-US"/>
      <w14:ligatures w14:val="none"/>
    </w:rPr>
  </w:style>
  <w:style w:type="paragraph" w:customStyle="1" w:styleId="Titlelevel4">
    <w:name w:val="Title level 4"/>
    <w:next w:val="body"/>
    <w:qFormat/>
    <w:rsid w:val="00877CF6"/>
    <w:pPr>
      <w:spacing w:before="240" w:after="240" w:line="240" w:lineRule="auto"/>
    </w:pPr>
    <w:rPr>
      <w:rFonts w:eastAsiaTheme="minorEastAsia"/>
      <w:color w:val="EEECE1" w:themeColor="background2"/>
      <w:kern w:val="0"/>
      <w:sz w:val="24"/>
      <w:szCs w:val="24"/>
      <w:lang w:val="en-US"/>
      <w14:ligatures w14:val="none"/>
    </w:rPr>
  </w:style>
  <w:style w:type="paragraph" w:customStyle="1" w:styleId="Figuretitle">
    <w:name w:val="Figure title"/>
    <w:basedOn w:val="body"/>
    <w:next w:val="Normal"/>
    <w:autoRedefine/>
    <w:qFormat/>
    <w:rsid w:val="00877CF6"/>
    <w:pPr>
      <w:keepNext/>
      <w:spacing w:before="360" w:after="360"/>
    </w:pPr>
    <w:rPr>
      <w:rFonts w:eastAsia="Times New Roman" w:cs="Times New Roman"/>
      <w:bCs/>
      <w:noProof/>
      <w:color w:val="1F497D" w:themeColor="text2"/>
      <w:szCs w:val="20"/>
      <w:lang w:val="en-GB" w:eastAsia="en-GB"/>
    </w:rPr>
  </w:style>
  <w:style w:type="table" w:customStyle="1" w:styleId="EBAtable">
    <w:name w:val="EBA table"/>
    <w:basedOn w:val="TableNormal"/>
    <w:uiPriority w:val="99"/>
    <w:rsid w:val="00877CF6"/>
    <w:pPr>
      <w:spacing w:after="0" w:line="240" w:lineRule="auto"/>
    </w:pPr>
    <w:rPr>
      <w:rFonts w:eastAsiaTheme="minorEastAsia"/>
      <w:kern w:val="0"/>
      <w:sz w:val="24"/>
      <w:szCs w:val="24"/>
      <w:lang w:val="en-US"/>
      <w14:ligatures w14:val="none"/>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877CF6"/>
    <w:pPr>
      <w:spacing w:after="0" w:line="240" w:lineRule="auto"/>
    </w:pPr>
    <w:rPr>
      <w:rFonts w:eastAsiaTheme="minorEastAsia"/>
      <w:caps/>
      <w:kern w:val="0"/>
      <w:sz w:val="16"/>
      <w:szCs w:val="18"/>
      <w:lang w:val="en-US"/>
      <w14:ligatures w14:val="none"/>
    </w:rPr>
  </w:style>
  <w:style w:type="paragraph" w:customStyle="1" w:styleId="bullet1">
    <w:name w:val="bullet 1"/>
    <w:basedOn w:val="body"/>
    <w:next w:val="body"/>
    <w:qFormat/>
    <w:rsid w:val="00877CF6"/>
    <w:pPr>
      <w:numPr>
        <w:numId w:val="15"/>
      </w:numPr>
    </w:pPr>
    <w:rPr>
      <w:szCs w:val="22"/>
    </w:rPr>
  </w:style>
  <w:style w:type="paragraph" w:customStyle="1" w:styleId="bullet2">
    <w:name w:val="bullet 2"/>
    <w:basedOn w:val="body"/>
    <w:qFormat/>
    <w:rsid w:val="00877CF6"/>
    <w:pPr>
      <w:numPr>
        <w:numId w:val="14"/>
      </w:numPr>
    </w:pPr>
    <w:rPr>
      <w:szCs w:val="22"/>
    </w:rPr>
  </w:style>
  <w:style w:type="paragraph" w:customStyle="1" w:styleId="Numberedtitlelevel3">
    <w:name w:val="Numbered title level 3"/>
    <w:basedOn w:val="Titlelevel3"/>
    <w:next w:val="body"/>
    <w:qFormat/>
    <w:rsid w:val="00877CF6"/>
    <w:pPr>
      <w:numPr>
        <w:ilvl w:val="2"/>
        <w:numId w:val="19"/>
      </w:numPr>
    </w:pPr>
  </w:style>
  <w:style w:type="table" w:styleId="LightShading">
    <w:name w:val="Light Shading"/>
    <w:basedOn w:val="TableNormal"/>
    <w:uiPriority w:val="60"/>
    <w:rsid w:val="00877CF6"/>
    <w:pPr>
      <w:spacing w:after="0" w:line="240" w:lineRule="auto"/>
    </w:pPr>
    <w:rPr>
      <w:rFonts w:eastAsiaTheme="minorEastAsia"/>
      <w:color w:val="000000" w:themeColor="text1" w:themeShade="BF"/>
      <w:kern w:val="0"/>
      <w:sz w:val="24"/>
      <w:szCs w:val="24"/>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77CF6"/>
    <w:pPr>
      <w:spacing w:after="0" w:line="240" w:lineRule="auto"/>
    </w:pPr>
    <w:rPr>
      <w:rFonts w:eastAsiaTheme="minorEastAsia"/>
      <w:color w:val="365F91" w:themeColor="accent1" w:themeShade="BF"/>
      <w:kern w:val="0"/>
      <w:sz w:val="24"/>
      <w:szCs w:val="24"/>
      <w:lang w:val="en-US"/>
      <w14:ligatures w14:val="non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877CF6"/>
  </w:style>
  <w:style w:type="paragraph" w:customStyle="1" w:styleId="Numberedtitlelevel4">
    <w:name w:val="Numbered title level 4"/>
    <w:basedOn w:val="Titlelevel4"/>
    <w:qFormat/>
    <w:rsid w:val="00877CF6"/>
    <w:pPr>
      <w:numPr>
        <w:numId w:val="16"/>
      </w:numPr>
    </w:pPr>
  </w:style>
  <w:style w:type="paragraph" w:styleId="Title">
    <w:name w:val="Title"/>
    <w:basedOn w:val="Normal"/>
    <w:next w:val="Normal"/>
    <w:link w:val="TitleChar"/>
    <w:uiPriority w:val="10"/>
    <w:qFormat/>
    <w:rsid w:val="00877CF6"/>
    <w:pPr>
      <w:pBdr>
        <w:bottom w:val="single" w:sz="8" w:space="4" w:color="4F81BD" w:themeColor="accent1"/>
      </w:pBdr>
      <w:spacing w:after="300" w:line="240" w:lineRule="auto"/>
      <w:contextualSpacing/>
    </w:pPr>
    <w:rPr>
      <w:rFonts w:asciiTheme="majorHAnsi" w:eastAsiaTheme="majorEastAsia" w:hAnsiTheme="majorHAnsi" w:cstheme="majorBidi"/>
      <w:color w:val="1F497D" w:themeColor="text2"/>
      <w:spacing w:val="5"/>
      <w:kern w:val="28"/>
      <w:sz w:val="52"/>
      <w:szCs w:val="52"/>
      <w:lang w:val="en-US"/>
      <w14:ligatures w14:val="none"/>
    </w:rPr>
  </w:style>
  <w:style w:type="character" w:customStyle="1" w:styleId="TitleChar">
    <w:name w:val="Title Char"/>
    <w:basedOn w:val="DefaultParagraphFont"/>
    <w:link w:val="Title"/>
    <w:uiPriority w:val="10"/>
    <w:rsid w:val="00877CF6"/>
    <w:rPr>
      <w:rFonts w:asciiTheme="majorHAnsi" w:eastAsiaTheme="majorEastAsia" w:hAnsiTheme="majorHAnsi" w:cstheme="majorBidi"/>
      <w:color w:val="1F497D" w:themeColor="text2"/>
      <w:spacing w:val="5"/>
      <w:kern w:val="28"/>
      <w:sz w:val="52"/>
      <w:szCs w:val="52"/>
      <w:lang w:val="en-US"/>
      <w14:ligatures w14:val="none"/>
    </w:rPr>
  </w:style>
  <w:style w:type="paragraph" w:styleId="Subtitle">
    <w:name w:val="Subtitle"/>
    <w:next w:val="Normal"/>
    <w:link w:val="SubtitleChar"/>
    <w:autoRedefine/>
    <w:uiPriority w:val="11"/>
    <w:qFormat/>
    <w:rsid w:val="00877CF6"/>
    <w:pPr>
      <w:numPr>
        <w:ilvl w:val="1"/>
      </w:numPr>
      <w:spacing w:before="240" w:after="120" w:line="240" w:lineRule="auto"/>
    </w:pPr>
    <w:rPr>
      <w:rFonts w:asciiTheme="majorHAnsi" w:eastAsiaTheme="majorEastAsia" w:hAnsiTheme="majorHAnsi" w:cstheme="majorBidi"/>
      <w:color w:val="4F81BD" w:themeColor="accent1"/>
      <w:kern w:val="0"/>
      <w:sz w:val="32"/>
      <w:szCs w:val="32"/>
      <w14:ligatures w14:val="none"/>
    </w:rPr>
  </w:style>
  <w:style w:type="character" w:customStyle="1" w:styleId="SubtitleChar">
    <w:name w:val="Subtitle Char"/>
    <w:basedOn w:val="DefaultParagraphFont"/>
    <w:link w:val="Subtitle"/>
    <w:uiPriority w:val="11"/>
    <w:rsid w:val="00877CF6"/>
    <w:rPr>
      <w:rFonts w:asciiTheme="majorHAnsi" w:eastAsiaTheme="majorEastAsia" w:hAnsiTheme="majorHAnsi" w:cstheme="majorBidi"/>
      <w:color w:val="4F81BD" w:themeColor="accent1"/>
      <w:kern w:val="0"/>
      <w:sz w:val="32"/>
      <w:szCs w:val="32"/>
      <w14:ligatures w14:val="none"/>
    </w:rPr>
  </w:style>
  <w:style w:type="character" w:styleId="BookTitle">
    <w:name w:val="Book Title"/>
    <w:basedOn w:val="DefaultParagraphFont"/>
    <w:uiPriority w:val="33"/>
    <w:qFormat/>
    <w:rsid w:val="00877CF6"/>
    <w:rPr>
      <w:b/>
      <w:bCs/>
      <w:smallCaps/>
      <w:spacing w:val="5"/>
    </w:rPr>
  </w:style>
  <w:style w:type="character" w:customStyle="1" w:styleId="Highlighttext">
    <w:name w:val="Highlight text"/>
    <w:basedOn w:val="DefaultParagraphFont"/>
    <w:uiPriority w:val="1"/>
    <w:semiHidden/>
    <w:qFormat/>
    <w:rsid w:val="00877CF6"/>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877CF6"/>
    <w:rPr>
      <w:bCs/>
      <w:lang w:val="en-GB" w:eastAsia="en-GB"/>
    </w:rPr>
  </w:style>
  <w:style w:type="paragraph" w:styleId="ListBullet">
    <w:name w:val="List Bullet"/>
    <w:basedOn w:val="Normal"/>
    <w:semiHidden/>
    <w:qFormat/>
    <w:rsid w:val="00877CF6"/>
    <w:pPr>
      <w:numPr>
        <w:numId w:val="21"/>
      </w:numPr>
      <w:spacing w:after="0" w:line="240" w:lineRule="auto"/>
      <w:contextualSpacing/>
    </w:pPr>
    <w:rPr>
      <w:rFonts w:eastAsiaTheme="minorEastAsia"/>
      <w:kern w:val="0"/>
      <w:szCs w:val="24"/>
      <w:lang w:val="en-US"/>
      <w14:ligatures w14:val="none"/>
    </w:rPr>
  </w:style>
  <w:style w:type="paragraph" w:customStyle="1" w:styleId="numberedparagraph">
    <w:name w:val="numbered paragraph"/>
    <w:basedOn w:val="body"/>
    <w:qFormat/>
    <w:rsid w:val="00877CF6"/>
    <w:pPr>
      <w:numPr>
        <w:numId w:val="20"/>
      </w:numPr>
    </w:pPr>
  </w:style>
  <w:style w:type="character" w:customStyle="1" w:styleId="Marker">
    <w:name w:val="Marker"/>
    <w:rsid w:val="00877CF6"/>
    <w:rPr>
      <w:color w:val="0000FF"/>
      <w:shd w:val="clear" w:color="auto" w:fill="auto"/>
    </w:rPr>
  </w:style>
  <w:style w:type="character" w:customStyle="1" w:styleId="Marker2">
    <w:name w:val="Marker2"/>
    <w:rsid w:val="00877CF6"/>
    <w:rPr>
      <w:color w:val="FF0000"/>
      <w:shd w:val="clear" w:color="auto" w:fill="auto"/>
    </w:rPr>
  </w:style>
  <w:style w:type="paragraph" w:customStyle="1" w:styleId="Annexetitre">
    <w:name w:val="Annexe titre"/>
    <w:basedOn w:val="Normal"/>
    <w:next w:val="Normal"/>
    <w:rsid w:val="00877CF6"/>
    <w:pPr>
      <w:spacing w:before="120" w:after="120" w:line="240" w:lineRule="auto"/>
      <w:jc w:val="center"/>
    </w:pPr>
    <w:rPr>
      <w:rFonts w:ascii="Times New Roman" w:eastAsia="Times New Roman" w:hAnsi="Times New Roman" w:cs="Times New Roman"/>
      <w:b/>
      <w:kern w:val="0"/>
      <w:sz w:val="24"/>
      <w:szCs w:val="24"/>
      <w:u w:val="single"/>
      <w14:ligatures w14:val="none"/>
    </w:rPr>
  </w:style>
  <w:style w:type="paragraph" w:customStyle="1" w:styleId="Considrant">
    <w:name w:val="Considérant"/>
    <w:basedOn w:val="Normal"/>
    <w:rsid w:val="00877CF6"/>
    <w:pPr>
      <w:numPr>
        <w:numId w:val="22"/>
      </w:numPr>
      <w:spacing w:before="120" w:after="120" w:line="240" w:lineRule="auto"/>
      <w:jc w:val="both"/>
    </w:pPr>
    <w:rPr>
      <w:rFonts w:ascii="Times New Roman" w:eastAsia="Times New Roman" w:hAnsi="Times New Roman" w:cs="Times New Roman"/>
      <w:kern w:val="0"/>
      <w:sz w:val="24"/>
      <w:szCs w:val="24"/>
      <w14:ligatures w14:val="none"/>
    </w:rPr>
  </w:style>
  <w:style w:type="paragraph" w:customStyle="1" w:styleId="Datedadoption">
    <w:name w:val="Date d'adoption"/>
    <w:basedOn w:val="Normal"/>
    <w:next w:val="Titreobjet"/>
    <w:rsid w:val="00877CF6"/>
    <w:pPr>
      <w:spacing w:before="360" w:after="0" w:line="240" w:lineRule="auto"/>
      <w:jc w:val="center"/>
    </w:pPr>
    <w:rPr>
      <w:rFonts w:ascii="Times New Roman" w:eastAsia="Times New Roman" w:hAnsi="Times New Roman" w:cs="Times New Roman"/>
      <w:b/>
      <w:kern w:val="0"/>
      <w:sz w:val="24"/>
      <w:szCs w:val="24"/>
      <w14:ligatures w14:val="none"/>
    </w:rPr>
  </w:style>
  <w:style w:type="paragraph" w:customStyle="1" w:styleId="Formuledadoption">
    <w:name w:val="Formule d'adoption"/>
    <w:basedOn w:val="Normal"/>
    <w:next w:val="Titrearticle"/>
    <w:rsid w:val="00877CF6"/>
    <w:pPr>
      <w:keepNext/>
      <w:spacing w:before="120" w:after="120" w:line="240" w:lineRule="auto"/>
      <w:jc w:val="both"/>
    </w:pPr>
    <w:rPr>
      <w:rFonts w:ascii="Times New Roman" w:eastAsia="Times New Roman" w:hAnsi="Times New Roman" w:cs="Times New Roman"/>
      <w:kern w:val="0"/>
      <w:sz w:val="24"/>
      <w:szCs w:val="24"/>
      <w14:ligatures w14:val="none"/>
    </w:rPr>
  </w:style>
  <w:style w:type="paragraph" w:customStyle="1" w:styleId="Institutionquisigne">
    <w:name w:val="Institution qui signe"/>
    <w:basedOn w:val="Normal"/>
    <w:next w:val="Personnequisigne"/>
    <w:rsid w:val="00877CF6"/>
    <w:pPr>
      <w:keepNext/>
      <w:tabs>
        <w:tab w:val="left" w:pos="4252"/>
      </w:tabs>
      <w:spacing w:before="720" w:after="0" w:line="240" w:lineRule="auto"/>
      <w:jc w:val="both"/>
    </w:pPr>
    <w:rPr>
      <w:rFonts w:ascii="Times New Roman" w:eastAsia="Times New Roman" w:hAnsi="Times New Roman" w:cs="Times New Roman"/>
      <w:i/>
      <w:kern w:val="0"/>
      <w:sz w:val="24"/>
      <w:szCs w:val="24"/>
      <w14:ligatures w14:val="none"/>
    </w:rPr>
  </w:style>
  <w:style w:type="paragraph" w:customStyle="1" w:styleId="Personnequisigne">
    <w:name w:val="Personne qui signe"/>
    <w:basedOn w:val="Normal"/>
    <w:next w:val="Institutionquisigne"/>
    <w:rsid w:val="00877CF6"/>
    <w:pPr>
      <w:tabs>
        <w:tab w:val="left" w:pos="4252"/>
      </w:tabs>
      <w:spacing w:after="0" w:line="240" w:lineRule="auto"/>
    </w:pPr>
    <w:rPr>
      <w:rFonts w:ascii="Times New Roman" w:eastAsia="Times New Roman" w:hAnsi="Times New Roman" w:cs="Times New Roman"/>
      <w:i/>
      <w:kern w:val="0"/>
      <w:sz w:val="24"/>
      <w:szCs w:val="24"/>
      <w14:ligatures w14:val="none"/>
    </w:rPr>
  </w:style>
  <w:style w:type="paragraph" w:customStyle="1" w:styleId="Titreobjet">
    <w:name w:val="Titre objet"/>
    <w:basedOn w:val="Normal"/>
    <w:next w:val="Normal"/>
    <w:rsid w:val="00877CF6"/>
    <w:pPr>
      <w:spacing w:before="360" w:after="360" w:line="240" w:lineRule="auto"/>
      <w:jc w:val="center"/>
    </w:pPr>
    <w:rPr>
      <w:rFonts w:ascii="Times New Roman" w:eastAsia="Times New Roman" w:hAnsi="Times New Roman" w:cs="Times New Roman"/>
      <w:b/>
      <w:kern w:val="0"/>
      <w:sz w:val="24"/>
      <w:szCs w:val="24"/>
      <w14:ligatures w14:val="none"/>
    </w:rPr>
  </w:style>
  <w:style w:type="paragraph" w:customStyle="1" w:styleId="Typedudocument">
    <w:name w:val="Type du document"/>
    <w:basedOn w:val="Normal"/>
    <w:next w:val="Titreobjet"/>
    <w:rsid w:val="00877CF6"/>
    <w:pPr>
      <w:spacing w:before="360" w:after="0" w:line="240" w:lineRule="auto"/>
      <w:jc w:val="center"/>
    </w:pPr>
    <w:rPr>
      <w:rFonts w:ascii="Times New Roman" w:eastAsia="Times New Roman" w:hAnsi="Times New Roman" w:cs="Times New Roman"/>
      <w:b/>
      <w:kern w:val="0"/>
      <w:sz w:val="24"/>
      <w:szCs w:val="24"/>
      <w14:ligatures w14:val="none"/>
    </w:rPr>
  </w:style>
  <w:style w:type="paragraph" w:customStyle="1" w:styleId="Pagedecouverture">
    <w:name w:val="Page de couverture"/>
    <w:basedOn w:val="Normal"/>
    <w:next w:val="Normal"/>
    <w:rsid w:val="00877CF6"/>
    <w:pPr>
      <w:spacing w:before="120" w:after="120" w:line="240" w:lineRule="auto"/>
      <w:jc w:val="both"/>
    </w:pPr>
    <w:rPr>
      <w:rFonts w:ascii="Times New Roman" w:eastAsia="Times New Roman" w:hAnsi="Times New Roman" w:cs="Times New Roman"/>
      <w:kern w:val="0"/>
      <w:sz w:val="24"/>
      <w:szCs w:val="24"/>
      <w14:ligatures w14:val="none"/>
    </w:rPr>
  </w:style>
  <w:style w:type="paragraph" w:customStyle="1" w:styleId="Institutionquiagit">
    <w:name w:val="Institution qui agit"/>
    <w:basedOn w:val="Normal"/>
    <w:next w:val="Normal"/>
    <w:rsid w:val="00877CF6"/>
    <w:pPr>
      <w:keepNext/>
      <w:spacing w:before="600" w:after="120" w:line="240" w:lineRule="auto"/>
      <w:jc w:val="both"/>
    </w:pPr>
    <w:rPr>
      <w:rFonts w:ascii="Times New Roman" w:eastAsia="Times New Roman" w:hAnsi="Times New Roman" w:cs="Times New Roman"/>
      <w:kern w:val="0"/>
      <w:sz w:val="24"/>
      <w:szCs w:val="24"/>
      <w14:ligatures w14:val="none"/>
    </w:rPr>
  </w:style>
  <w:style w:type="paragraph" w:styleId="Caption">
    <w:name w:val="caption"/>
    <w:basedOn w:val="Normal"/>
    <w:next w:val="Normal"/>
    <w:uiPriority w:val="35"/>
    <w:unhideWhenUsed/>
    <w:qFormat/>
    <w:rsid w:val="00877CF6"/>
    <w:pPr>
      <w:spacing w:line="240" w:lineRule="auto"/>
    </w:pPr>
    <w:rPr>
      <w:rFonts w:eastAsiaTheme="minorEastAsia"/>
      <w:b/>
      <w:bCs/>
      <w:color w:val="4F81BD" w:themeColor="accent1"/>
      <w:kern w:val="0"/>
      <w:sz w:val="18"/>
      <w:szCs w:val="18"/>
      <w:lang w:val="en-US"/>
      <w14:ligatures w14:val="none"/>
    </w:rPr>
  </w:style>
  <w:style w:type="paragraph" w:customStyle="1" w:styleId="TableNote">
    <w:name w:val="TableNote"/>
    <w:basedOn w:val="Normal"/>
    <w:rsid w:val="00877CF6"/>
    <w:pPr>
      <w:spacing w:before="60" w:after="120" w:line="240" w:lineRule="auto"/>
      <w:jc w:val="both"/>
    </w:pPr>
    <w:rPr>
      <w:rFonts w:ascii="Segoe UI" w:eastAsia="Times New Roman" w:hAnsi="Segoe UI" w:cs="Times New Roman"/>
      <w:kern w:val="0"/>
      <w:sz w:val="15"/>
      <w:szCs w:val="20"/>
      <w14:ligatures w14:val="none"/>
    </w:rPr>
  </w:style>
  <w:style w:type="paragraph" w:customStyle="1" w:styleId="CM11">
    <w:name w:val="CM1+1"/>
    <w:basedOn w:val="Default"/>
    <w:next w:val="Default"/>
    <w:uiPriority w:val="99"/>
    <w:rsid w:val="00877CF6"/>
    <w:rPr>
      <w:rFonts w:ascii="EUAlbertina" w:eastAsiaTheme="minorEastAsia" w:hAnsi="EUAlbertina" w:cstheme="minorBidi"/>
      <w:color w:val="auto"/>
      <w:lang w:val="fr-FR" w:eastAsia="en-US"/>
    </w:rPr>
  </w:style>
  <w:style w:type="paragraph" w:customStyle="1" w:styleId="CM31">
    <w:name w:val="CM3+1"/>
    <w:basedOn w:val="Default"/>
    <w:next w:val="Default"/>
    <w:uiPriority w:val="99"/>
    <w:rsid w:val="00877CF6"/>
    <w:rPr>
      <w:rFonts w:ascii="EUAlbertina" w:eastAsiaTheme="minorEastAsia" w:hAnsi="EUAlbertina" w:cstheme="minorBidi"/>
      <w:color w:val="auto"/>
      <w:lang w:val="fr-FR" w:eastAsia="en-US"/>
    </w:rPr>
  </w:style>
  <w:style w:type="paragraph" w:customStyle="1" w:styleId="CM13">
    <w:name w:val="CM1+3"/>
    <w:basedOn w:val="Default"/>
    <w:next w:val="Default"/>
    <w:uiPriority w:val="99"/>
    <w:rsid w:val="00877CF6"/>
    <w:rPr>
      <w:rFonts w:ascii="EUAlbertina" w:eastAsiaTheme="minorEastAsia" w:hAnsi="EUAlbertina" w:cstheme="minorBidi"/>
      <w:color w:val="auto"/>
      <w:lang w:val="fr-FR" w:eastAsia="en-US"/>
    </w:rPr>
  </w:style>
  <w:style w:type="paragraph" w:customStyle="1" w:styleId="CM33">
    <w:name w:val="CM3+3"/>
    <w:basedOn w:val="Default"/>
    <w:next w:val="Default"/>
    <w:uiPriority w:val="99"/>
    <w:rsid w:val="00877CF6"/>
    <w:rPr>
      <w:rFonts w:ascii="EUAlbertina" w:eastAsiaTheme="minorEastAsia" w:hAnsi="EUAlbertina" w:cstheme="minorBidi"/>
      <w:color w:val="auto"/>
      <w:lang w:val="fr-FR" w:eastAsia="en-US"/>
    </w:rPr>
  </w:style>
  <w:style w:type="character" w:customStyle="1" w:styleId="ListParagraphChar">
    <w:name w:val="List Paragraph Char"/>
    <w:aliases w:val="Dot pt Char,Colorful List - Accent 11 Char,No Spacing1 Char,List Paragraph Char Char Char Char,Indicator Text Char,Numbered Para 1 Char,Bullet 1 Char,F5 List Paragraph Char,Bullet Points Char,List Paragraph2 Char,MAIN CONTENT Char"/>
    <w:basedOn w:val="DefaultParagraphFont"/>
    <w:link w:val="ListParagraph"/>
    <w:uiPriority w:val="34"/>
    <w:locked/>
    <w:rsid w:val="00877CF6"/>
  </w:style>
  <w:style w:type="character" w:customStyle="1" w:styleId="UnresolvedMention1">
    <w:name w:val="Unresolved Mention1"/>
    <w:basedOn w:val="DefaultParagraphFont"/>
    <w:uiPriority w:val="99"/>
    <w:semiHidden/>
    <w:unhideWhenUsed/>
    <w:rsid w:val="00877CF6"/>
    <w:rPr>
      <w:color w:val="605E5C"/>
      <w:shd w:val="clear" w:color="auto" w:fill="E1DFDD"/>
    </w:rPr>
  </w:style>
  <w:style w:type="paragraph" w:customStyle="1" w:styleId="msonormal0">
    <w:name w:val="msonormal"/>
    <w:basedOn w:val="Normal"/>
    <w:rsid w:val="00877CF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DefinedTermInstrument">
    <w:name w:val="Defined Term Instrument"/>
    <w:basedOn w:val="Normal"/>
    <w:link w:val="DefinedTermInstrumentChar"/>
    <w:qFormat/>
    <w:rsid w:val="002C654B"/>
    <w:pPr>
      <w:spacing w:before="120" w:after="120"/>
      <w:ind w:left="1440" w:hanging="873"/>
    </w:pPr>
    <w:rPr>
      <w:rFonts w:ascii="Arial" w:hAnsi="Arial" w:cs="Arial"/>
      <w:i/>
      <w:kern w:val="0"/>
      <w:sz w:val="20"/>
      <w:szCs w:val="20"/>
      <w14:ligatures w14:val="none"/>
    </w:rPr>
  </w:style>
  <w:style w:type="paragraph" w:customStyle="1" w:styleId="DefinitionInstrument">
    <w:name w:val="Definition Instrument"/>
    <w:basedOn w:val="Normal"/>
    <w:link w:val="DefinitionInstrumentChar"/>
    <w:qFormat/>
    <w:rsid w:val="002C654B"/>
    <w:pPr>
      <w:spacing w:before="120" w:after="120"/>
      <w:ind w:left="993"/>
    </w:pPr>
    <w:rPr>
      <w:rFonts w:ascii="Arial" w:hAnsi="Arial" w:cs="Arial"/>
      <w:kern w:val="0"/>
      <w:sz w:val="20"/>
      <w:szCs w:val="20"/>
      <w14:ligatures w14:val="none"/>
    </w:rPr>
  </w:style>
  <w:style w:type="character" w:customStyle="1" w:styleId="DefinedTermInstrumentChar">
    <w:name w:val="Defined Term Instrument Char"/>
    <w:basedOn w:val="DefaultParagraphFont"/>
    <w:link w:val="DefinedTermInstrument"/>
    <w:rsid w:val="002C654B"/>
    <w:rPr>
      <w:rFonts w:ascii="Arial" w:hAnsi="Arial" w:cs="Arial"/>
      <w:i/>
      <w:kern w:val="0"/>
      <w:sz w:val="20"/>
      <w:szCs w:val="20"/>
      <w14:ligatures w14:val="none"/>
    </w:rPr>
  </w:style>
  <w:style w:type="character" w:customStyle="1" w:styleId="DefinitionInstrumentChar">
    <w:name w:val="Definition Instrument Char"/>
    <w:basedOn w:val="DefaultParagraphFont"/>
    <w:link w:val="DefinitionInstrument"/>
    <w:rsid w:val="002C654B"/>
    <w:rPr>
      <w:rFonts w:ascii="Arial" w:hAnsi="Arial" w:cs="Arial"/>
      <w:kern w:val="0"/>
      <w:sz w:val="20"/>
      <w:szCs w:val="20"/>
      <w14:ligatures w14:val="none"/>
    </w:rPr>
  </w:style>
  <w:style w:type="character" w:styleId="Mention">
    <w:name w:val="Mention"/>
    <w:basedOn w:val="DefaultParagraphFont"/>
    <w:uiPriority w:val="99"/>
    <w:unhideWhenUsed/>
    <w:rsid w:val="002C654B"/>
    <w:rPr>
      <w:color w:val="2B579A"/>
      <w:shd w:val="clear" w:color="auto" w:fill="E1DFDD"/>
    </w:rPr>
  </w:style>
  <w:style w:type="character" w:customStyle="1" w:styleId="normaltextrun">
    <w:name w:val="normaltextrun"/>
    <w:basedOn w:val="DefaultParagraphFont"/>
    <w:rsid w:val="002C654B"/>
  </w:style>
  <w:style w:type="character" w:styleId="UnresolvedMention">
    <w:name w:val="Unresolved Mention"/>
    <w:basedOn w:val="DefaultParagraphFont"/>
    <w:uiPriority w:val="99"/>
    <w:semiHidden/>
    <w:unhideWhenUsed/>
    <w:rsid w:val="00C54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7342">
      <w:bodyDiv w:val="1"/>
      <w:marLeft w:val="0"/>
      <w:marRight w:val="0"/>
      <w:marTop w:val="0"/>
      <w:marBottom w:val="0"/>
      <w:divBdr>
        <w:top w:val="none" w:sz="0" w:space="0" w:color="auto"/>
        <w:left w:val="none" w:sz="0" w:space="0" w:color="auto"/>
        <w:bottom w:val="none" w:sz="0" w:space="0" w:color="auto"/>
        <w:right w:val="none" w:sz="0" w:space="0" w:color="auto"/>
      </w:divBdr>
    </w:div>
    <w:div w:id="607129138">
      <w:bodyDiv w:val="1"/>
      <w:marLeft w:val="0"/>
      <w:marRight w:val="0"/>
      <w:marTop w:val="0"/>
      <w:marBottom w:val="0"/>
      <w:divBdr>
        <w:top w:val="none" w:sz="0" w:space="0" w:color="auto"/>
        <w:left w:val="none" w:sz="0" w:space="0" w:color="auto"/>
        <w:bottom w:val="none" w:sz="0" w:space="0" w:color="auto"/>
        <w:right w:val="none" w:sz="0" w:space="0" w:color="auto"/>
      </w:divBdr>
    </w:div>
    <w:div w:id="620381312">
      <w:bodyDiv w:val="1"/>
      <w:marLeft w:val="0"/>
      <w:marRight w:val="0"/>
      <w:marTop w:val="0"/>
      <w:marBottom w:val="0"/>
      <w:divBdr>
        <w:top w:val="none" w:sz="0" w:space="0" w:color="auto"/>
        <w:left w:val="none" w:sz="0" w:space="0" w:color="auto"/>
        <w:bottom w:val="none" w:sz="0" w:space="0" w:color="auto"/>
        <w:right w:val="none" w:sz="0" w:space="0" w:color="auto"/>
      </w:divBdr>
    </w:div>
    <w:div w:id="828784639">
      <w:bodyDiv w:val="1"/>
      <w:marLeft w:val="0"/>
      <w:marRight w:val="0"/>
      <w:marTop w:val="0"/>
      <w:marBottom w:val="0"/>
      <w:divBdr>
        <w:top w:val="none" w:sz="0" w:space="0" w:color="auto"/>
        <w:left w:val="none" w:sz="0" w:space="0" w:color="auto"/>
        <w:bottom w:val="none" w:sz="0" w:space="0" w:color="auto"/>
        <w:right w:val="none" w:sz="0" w:space="0" w:color="auto"/>
      </w:divBdr>
    </w:div>
    <w:div w:id="211570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6870</Words>
  <Characters>39164</Characters>
  <Application>Microsoft Office Word</Application>
  <DocSecurity>0</DocSecurity>
  <Lines>326</Lines>
  <Paragraphs>91</Paragraphs>
  <ScaleCrop>false</ScaleCrop>
  <Company/>
  <LinksUpToDate>false</LinksUpToDate>
  <CharactersWithSpaces>45943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2025-10-21T14:28:00Z</dcterms:created>
  <dcterms:modified xsi:type="dcterms:W3CDTF">2025-10-21T14:28:00Z</dcterms:modified>
</cp:coreProperties>
</file>